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64" w:rsidRPr="008C2AF3" w:rsidRDefault="00442064" w:rsidP="00442064">
      <w:pPr>
        <w:spacing w:after="0"/>
        <w:jc w:val="center"/>
        <w:rPr>
          <w:rFonts w:ascii="Times New Roman" w:hAnsi="Times New Roman"/>
          <w:b/>
          <w:sz w:val="24"/>
          <w:szCs w:val="24"/>
          <w:lang w:val="en-GB"/>
        </w:rPr>
      </w:pPr>
      <w:r w:rsidRPr="008C2AF3">
        <w:rPr>
          <w:rFonts w:ascii="Times New Roman" w:hAnsi="Times New Roman"/>
          <w:b/>
          <w:sz w:val="24"/>
          <w:szCs w:val="24"/>
          <w:lang w:val="en-GB"/>
        </w:rPr>
        <w:t xml:space="preserve">THE ANALYSIS OF MONETARY FRAMEWORK OF INFLATION TARGETING, EXCHANGE RATE REGIME SWITCHING AND VOLATILITY IN SELECTED </w:t>
      </w:r>
    </w:p>
    <w:p w:rsidR="00442064" w:rsidRPr="008C2AF3" w:rsidRDefault="00442064" w:rsidP="00442064">
      <w:pPr>
        <w:spacing w:after="0" w:line="240" w:lineRule="auto"/>
        <w:jc w:val="center"/>
        <w:rPr>
          <w:rFonts w:ascii="Times New Roman" w:hAnsi="Times New Roman"/>
          <w:b/>
          <w:sz w:val="24"/>
          <w:szCs w:val="24"/>
          <w:lang w:val="en-GB"/>
        </w:rPr>
      </w:pPr>
      <w:r w:rsidRPr="008C2AF3">
        <w:rPr>
          <w:rFonts w:ascii="Times New Roman" w:hAnsi="Times New Roman"/>
          <w:b/>
          <w:sz w:val="24"/>
          <w:szCs w:val="24"/>
          <w:lang w:val="en-GB"/>
        </w:rPr>
        <w:t>SUB-SAHARAN AFRICAN COUNTRIES</w:t>
      </w:r>
    </w:p>
    <w:p w:rsidR="00442064" w:rsidRPr="008C2AF3" w:rsidRDefault="00442064" w:rsidP="00442064">
      <w:pPr>
        <w:spacing w:after="0" w:line="240" w:lineRule="auto"/>
        <w:jc w:val="both"/>
        <w:rPr>
          <w:rFonts w:ascii="Times New Roman" w:hAnsi="Times New Roman"/>
          <w:b/>
          <w:sz w:val="24"/>
          <w:lang w:val="en-GB"/>
        </w:rPr>
      </w:pPr>
    </w:p>
    <w:p w:rsidR="00442064" w:rsidRPr="008C2AF3" w:rsidRDefault="00442064" w:rsidP="00442064">
      <w:pPr>
        <w:spacing w:after="0" w:line="240" w:lineRule="auto"/>
        <w:jc w:val="center"/>
        <w:rPr>
          <w:rFonts w:ascii="Times New Roman" w:hAnsi="Times New Roman"/>
          <w:b/>
          <w:sz w:val="24"/>
          <w:lang w:val="en-GB"/>
        </w:rPr>
      </w:pPr>
      <w:r w:rsidRPr="008C2AF3">
        <w:rPr>
          <w:rFonts w:ascii="Times New Roman" w:hAnsi="Times New Roman"/>
          <w:b/>
          <w:sz w:val="24"/>
          <w:lang w:val="en-GB"/>
        </w:rPr>
        <w:t>By</w:t>
      </w:r>
    </w:p>
    <w:p w:rsidR="00442064" w:rsidRPr="008C2AF3" w:rsidRDefault="00442064" w:rsidP="00442064">
      <w:pPr>
        <w:spacing w:after="0" w:line="240" w:lineRule="auto"/>
        <w:jc w:val="center"/>
        <w:rPr>
          <w:rFonts w:ascii="Times New Roman" w:hAnsi="Times New Roman"/>
          <w:b/>
          <w:sz w:val="12"/>
          <w:lang w:val="en-GB"/>
        </w:rPr>
      </w:pPr>
    </w:p>
    <w:p w:rsidR="00442064" w:rsidRPr="008C2AF3" w:rsidRDefault="00442064" w:rsidP="00442064">
      <w:pPr>
        <w:spacing w:after="0" w:line="240" w:lineRule="auto"/>
        <w:jc w:val="center"/>
        <w:rPr>
          <w:rFonts w:ascii="Times New Roman" w:hAnsi="Times New Roman"/>
          <w:b/>
          <w:sz w:val="24"/>
          <w:lang w:val="en-GB"/>
        </w:rPr>
      </w:pPr>
      <w:r w:rsidRPr="008C2AF3">
        <w:rPr>
          <w:rFonts w:ascii="Times New Roman" w:hAnsi="Times New Roman"/>
          <w:b/>
          <w:sz w:val="24"/>
          <w:lang w:val="en-GB"/>
        </w:rPr>
        <w:t>MOHAMMED UMAR</w:t>
      </w:r>
    </w:p>
    <w:p w:rsidR="00442064" w:rsidRPr="008C2AF3" w:rsidRDefault="00442064" w:rsidP="00442064">
      <w:pPr>
        <w:spacing w:after="0" w:line="240" w:lineRule="auto"/>
        <w:jc w:val="center"/>
        <w:rPr>
          <w:rFonts w:ascii="Times New Roman" w:hAnsi="Times New Roman"/>
          <w:sz w:val="24"/>
          <w:lang w:val="en-GB"/>
        </w:rPr>
      </w:pPr>
      <w:r w:rsidRPr="008C2AF3">
        <w:rPr>
          <w:rFonts w:ascii="Times New Roman" w:hAnsi="Times New Roman"/>
          <w:sz w:val="24"/>
          <w:lang w:val="en-GB"/>
        </w:rPr>
        <w:t>Department of Economics and Development Studies,</w:t>
      </w:r>
    </w:p>
    <w:p w:rsidR="00442064" w:rsidRPr="008C2AF3" w:rsidRDefault="00442064" w:rsidP="00442064">
      <w:pPr>
        <w:spacing w:after="0" w:line="240" w:lineRule="auto"/>
        <w:jc w:val="center"/>
        <w:rPr>
          <w:rFonts w:ascii="Times New Roman" w:hAnsi="Times New Roman"/>
          <w:sz w:val="24"/>
          <w:lang w:val="en-GB"/>
        </w:rPr>
      </w:pPr>
      <w:r w:rsidRPr="008C2AF3">
        <w:rPr>
          <w:rFonts w:ascii="Times New Roman" w:hAnsi="Times New Roman"/>
          <w:sz w:val="24"/>
          <w:lang w:val="en-GB"/>
        </w:rPr>
        <w:t xml:space="preserve">Federal University, </w:t>
      </w:r>
      <w:proofErr w:type="spellStart"/>
      <w:r w:rsidRPr="008C2AF3">
        <w:rPr>
          <w:rFonts w:ascii="Times New Roman" w:hAnsi="Times New Roman"/>
          <w:sz w:val="24"/>
          <w:lang w:val="en-GB"/>
        </w:rPr>
        <w:t>Kashere</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Gombe</w:t>
      </w:r>
      <w:proofErr w:type="spellEnd"/>
      <w:r w:rsidRPr="008C2AF3">
        <w:rPr>
          <w:rFonts w:ascii="Times New Roman" w:hAnsi="Times New Roman"/>
          <w:sz w:val="24"/>
          <w:lang w:val="en-GB"/>
        </w:rPr>
        <w:t xml:space="preserve"> State</w:t>
      </w:r>
    </w:p>
    <w:p w:rsidR="00442064" w:rsidRPr="008C2AF3" w:rsidRDefault="00442064" w:rsidP="00442064">
      <w:pPr>
        <w:spacing w:after="0" w:line="240" w:lineRule="auto"/>
        <w:jc w:val="center"/>
        <w:rPr>
          <w:rFonts w:ascii="Times New Roman" w:hAnsi="Times New Roman"/>
          <w:sz w:val="24"/>
          <w:lang w:val="en-GB"/>
        </w:rPr>
      </w:pPr>
    </w:p>
    <w:p w:rsidR="00442064" w:rsidRPr="008C2AF3" w:rsidRDefault="00442064" w:rsidP="00442064">
      <w:pPr>
        <w:spacing w:after="0" w:line="240" w:lineRule="auto"/>
        <w:jc w:val="both"/>
        <w:rPr>
          <w:rFonts w:ascii="Times New Roman" w:hAnsi="Times New Roman"/>
          <w:b/>
          <w:sz w:val="24"/>
          <w:lang w:val="en-GB"/>
        </w:rPr>
      </w:pPr>
      <w:r w:rsidRPr="008C2AF3">
        <w:rPr>
          <w:rFonts w:ascii="Times New Roman" w:hAnsi="Times New Roman"/>
          <w:b/>
          <w:sz w:val="24"/>
          <w:lang w:val="en-GB"/>
        </w:rPr>
        <w:t>ABSTRACT</w:t>
      </w:r>
    </w:p>
    <w:p w:rsidR="00442064" w:rsidRPr="008C2AF3" w:rsidRDefault="00442064" w:rsidP="00442064">
      <w:pPr>
        <w:spacing w:after="0" w:line="240" w:lineRule="auto"/>
        <w:jc w:val="both"/>
        <w:rPr>
          <w:rFonts w:ascii="Times New Roman" w:hAnsi="Times New Roman"/>
          <w:sz w:val="24"/>
          <w:lang w:val="en-GB"/>
        </w:rPr>
      </w:pPr>
      <w:r w:rsidRPr="008C2AF3">
        <w:rPr>
          <w:rFonts w:ascii="Times New Roman" w:hAnsi="Times New Roman"/>
          <w:sz w:val="24"/>
        </w:rPr>
        <w:t xml:space="preserve">Exchange rate volatility has affected not only sub-Saharan African economies but the volume of international transactions in general. It directly affects the nations’ profitability of tradable commodities, balance of payment, </w:t>
      </w:r>
      <w:proofErr w:type="gramStart"/>
      <w:r w:rsidRPr="008C2AF3">
        <w:rPr>
          <w:rFonts w:ascii="Times New Roman" w:hAnsi="Times New Roman"/>
          <w:sz w:val="24"/>
        </w:rPr>
        <w:t>terms</w:t>
      </w:r>
      <w:proofErr w:type="gramEnd"/>
      <w:r w:rsidRPr="008C2AF3">
        <w:rPr>
          <w:rFonts w:ascii="Times New Roman" w:hAnsi="Times New Roman"/>
          <w:sz w:val="24"/>
        </w:rPr>
        <w:t xml:space="preserve"> of trade and investment decisions. Despite the measures taken by the monetary authorities to ensure macroeconomic stability, exchange rate remains volatile. This </w:t>
      </w:r>
      <w:proofErr w:type="gramStart"/>
      <w:r w:rsidRPr="008C2AF3">
        <w:rPr>
          <w:rFonts w:ascii="Times New Roman" w:hAnsi="Times New Roman"/>
          <w:sz w:val="24"/>
        </w:rPr>
        <w:t>study,</w:t>
      </w:r>
      <w:proofErr w:type="gramEnd"/>
      <w:r w:rsidRPr="008C2AF3">
        <w:rPr>
          <w:rFonts w:ascii="Times New Roman" w:hAnsi="Times New Roman"/>
          <w:sz w:val="24"/>
        </w:rPr>
        <w:t xml:space="preserve"> therefore pursues the following objectives. </w:t>
      </w:r>
      <w:r w:rsidRPr="008C2AF3">
        <w:rPr>
          <w:rFonts w:ascii="Times New Roman" w:hAnsi="Times New Roman"/>
          <w:sz w:val="24"/>
          <w:lang w:val="en-GB"/>
        </w:rPr>
        <w:t xml:space="preserve">First, it investigates the effectiveness of the inflation targeting framework (ITF) as a hedging strategy for exchange rate volatility. Second, </w:t>
      </w:r>
      <w:r w:rsidRPr="008C2AF3">
        <w:rPr>
          <w:rFonts w:ascii="Times New Roman" w:hAnsi="Times New Roman"/>
          <w:sz w:val="24"/>
        </w:rPr>
        <w:t>examines whether the monetary policy of ITF has performed the role of the nominal anchor in the economies</w:t>
      </w:r>
      <w:r w:rsidRPr="008C2AF3">
        <w:rPr>
          <w:rFonts w:ascii="Times New Roman" w:hAnsi="Times New Roman"/>
          <w:sz w:val="24"/>
          <w:lang w:val="en-GB"/>
        </w:rPr>
        <w:t xml:space="preserve">. Third, </w:t>
      </w:r>
      <w:r w:rsidRPr="008C2AF3">
        <w:rPr>
          <w:rFonts w:ascii="Times New Roman" w:hAnsi="Times New Roman"/>
          <w:sz w:val="24"/>
        </w:rPr>
        <w:t xml:space="preserve">examines the influence of exchange rate regime switching on exchange rate volatility and finally, </w:t>
      </w:r>
      <w:r w:rsidRPr="008C2AF3">
        <w:rPr>
          <w:rFonts w:ascii="Times New Roman" w:hAnsi="Times New Roman"/>
          <w:sz w:val="24"/>
          <w:lang w:val="en-GB"/>
        </w:rPr>
        <w:t xml:space="preserve">determines causality among the variables of the monetary theory of exchange rate determination. In achieving the results of the objectives, the study employs a battery of econometric procedures </w:t>
      </w:r>
      <w:proofErr w:type="spellStart"/>
      <w:r w:rsidRPr="008C2AF3">
        <w:rPr>
          <w:rFonts w:ascii="Times New Roman" w:hAnsi="Times New Roman"/>
          <w:sz w:val="24"/>
          <w:lang w:val="en-GB"/>
        </w:rPr>
        <w:t>namely</w:t>
      </w:r>
      <w:proofErr w:type="gramStart"/>
      <w:r w:rsidRPr="008C2AF3">
        <w:rPr>
          <w:rFonts w:ascii="Times New Roman" w:hAnsi="Times New Roman"/>
          <w:sz w:val="24"/>
          <w:lang w:val="en-GB"/>
        </w:rPr>
        <w:t>,threshold</w:t>
      </w:r>
      <w:proofErr w:type="spellEnd"/>
      <w:proofErr w:type="gramEnd"/>
      <w:r w:rsidRPr="008C2AF3">
        <w:rPr>
          <w:rFonts w:ascii="Times New Roman" w:hAnsi="Times New Roman"/>
          <w:sz w:val="24"/>
          <w:lang w:val="en-GB"/>
        </w:rPr>
        <w:t xml:space="preserve"> generalised autoregressive conditional heteroscedasticity (TGARCH) model, generalised method of moments (GMM) estimators, time-varying Markov-switching transition probability autoregressive conditional heteroscedasticity (ARCH) model and asymmetric/Toda-Yamamoto dynamic causality with leverage bootstrapping. The results of the first objective indicate that the menace of exchange rate volatility reduces when the IT policy was adopted in Ghana and South Africa. However, the ITF policy transition increases the volatility of exchange rate. Secondly, the findings on the baseline and augmented Taylor rule models reveal that ITF become a nominal anchor in the economies immediately after the adoption of the policy, although the hypothetical response of interest rate to inflation deviation and output gap is greater in South Africa compared to Ghana. Thirdly, the results of the time-varying Markov-switching models indicate that the exchange rates of the countries are characterised by decline in the downward regime except for Nigeria which shows high decline in the upward regime. Finally, the estimates of the asymmetric/Toda-Yamamoto causality reveal the existence of size distortion when the asymptotic Granger causality is used. The main policy implication of the findings is that monetary authorities can ensure exchange rate stability through accountability and transparency in contractionary or expansionary policies in aggregate demand using monetary policy instrument. </w:t>
      </w:r>
    </w:p>
    <w:p w:rsidR="00442064" w:rsidRPr="008C2AF3" w:rsidRDefault="00442064" w:rsidP="00442064">
      <w:pPr>
        <w:spacing w:after="0" w:line="240" w:lineRule="auto"/>
        <w:jc w:val="both"/>
        <w:rPr>
          <w:rFonts w:ascii="Times New Roman" w:hAnsi="Times New Roman"/>
          <w:b/>
          <w:sz w:val="24"/>
          <w:lang w:val="en-GB"/>
        </w:rPr>
      </w:pPr>
    </w:p>
    <w:p w:rsidR="00442064" w:rsidRPr="008C2AF3" w:rsidRDefault="00442064" w:rsidP="00442064">
      <w:pPr>
        <w:spacing w:after="0" w:line="240" w:lineRule="auto"/>
        <w:ind w:left="1843" w:hanging="1843"/>
        <w:jc w:val="both"/>
        <w:rPr>
          <w:rFonts w:ascii="Times New Roman" w:hAnsi="Times New Roman"/>
          <w:sz w:val="24"/>
          <w:lang w:val="en-GB"/>
        </w:rPr>
      </w:pPr>
      <w:r w:rsidRPr="008C2AF3">
        <w:rPr>
          <w:rFonts w:ascii="Times New Roman" w:hAnsi="Times New Roman"/>
          <w:b/>
          <w:sz w:val="24"/>
          <w:lang w:val="en-GB"/>
        </w:rPr>
        <w:t>KEY WORDS</w:t>
      </w:r>
      <w:r w:rsidRPr="008C2AF3">
        <w:rPr>
          <w:rFonts w:ascii="Times New Roman" w:hAnsi="Times New Roman"/>
          <w:sz w:val="24"/>
          <w:lang w:val="en-GB"/>
        </w:rPr>
        <w:t>:  asymmetric causality, exchange rate, volatility, inflation targeting, regime switching.</w:t>
      </w:r>
    </w:p>
    <w:p w:rsidR="00442064" w:rsidRPr="008C2AF3" w:rsidRDefault="00442064" w:rsidP="00442064">
      <w:pPr>
        <w:spacing w:after="0" w:line="240" w:lineRule="auto"/>
        <w:jc w:val="both"/>
        <w:rPr>
          <w:rFonts w:ascii="Times New Roman" w:hAnsi="Times New Roman"/>
          <w:sz w:val="24"/>
          <w:lang w:val="en-GB"/>
        </w:rPr>
      </w:pPr>
    </w:p>
    <w:p w:rsidR="00442064" w:rsidRPr="008C2AF3" w:rsidRDefault="00442064" w:rsidP="00442064">
      <w:pPr>
        <w:spacing w:after="0" w:line="240" w:lineRule="auto"/>
        <w:jc w:val="both"/>
        <w:rPr>
          <w:rFonts w:ascii="Times New Roman" w:hAnsi="Times New Roman"/>
          <w:sz w:val="24"/>
          <w:lang w:val="en-GB"/>
        </w:rPr>
      </w:pPr>
      <w:r w:rsidRPr="008C2AF3">
        <w:rPr>
          <w:rFonts w:ascii="Times New Roman" w:hAnsi="Times New Roman"/>
          <w:b/>
          <w:sz w:val="24"/>
          <w:lang w:val="en-GB"/>
        </w:rPr>
        <w:t>INSTITUTION</w:t>
      </w:r>
      <w:r w:rsidRPr="008C2AF3">
        <w:rPr>
          <w:rFonts w:ascii="Times New Roman" w:hAnsi="Times New Roman"/>
          <w:sz w:val="24"/>
          <w:lang w:val="en-GB"/>
        </w:rPr>
        <w:t xml:space="preserve">: </w:t>
      </w:r>
      <w:r w:rsidRPr="008C2AF3">
        <w:rPr>
          <w:rFonts w:ascii="Times New Roman" w:hAnsi="Times New Roman"/>
          <w:sz w:val="24"/>
          <w:lang w:val="en-GB"/>
        </w:rPr>
        <w:tab/>
      </w:r>
      <w:r w:rsidRPr="008C2AF3">
        <w:rPr>
          <w:rFonts w:ascii="Times New Roman" w:hAnsi="Times New Roman"/>
          <w:sz w:val="24"/>
          <w:lang w:val="en-GB"/>
        </w:rPr>
        <w:tab/>
        <w:t>University Utara Malaysia</w:t>
      </w:r>
    </w:p>
    <w:p w:rsidR="00442064" w:rsidRPr="008C2AF3" w:rsidRDefault="00442064" w:rsidP="00442064">
      <w:pPr>
        <w:spacing w:after="0" w:line="240" w:lineRule="auto"/>
        <w:jc w:val="both"/>
        <w:rPr>
          <w:rFonts w:ascii="Times New Roman" w:hAnsi="Times New Roman"/>
          <w:b/>
          <w:sz w:val="24"/>
          <w:lang w:val="en-GB"/>
        </w:rPr>
      </w:pPr>
      <w:r w:rsidRPr="008C2AF3">
        <w:rPr>
          <w:rFonts w:ascii="Times New Roman" w:hAnsi="Times New Roman"/>
          <w:b/>
          <w:sz w:val="24"/>
          <w:lang w:val="en-GB"/>
        </w:rPr>
        <w:t>SUPERVISORS:</w:t>
      </w:r>
      <w:r w:rsidRPr="008C2AF3">
        <w:rPr>
          <w:rFonts w:ascii="Times New Roman" w:hAnsi="Times New Roman"/>
          <w:b/>
          <w:sz w:val="24"/>
          <w:lang w:val="en-GB"/>
        </w:rPr>
        <w:tab/>
      </w:r>
      <w:r w:rsidRPr="008C2AF3">
        <w:rPr>
          <w:rFonts w:ascii="Times New Roman" w:hAnsi="Times New Roman"/>
          <w:b/>
          <w:sz w:val="24"/>
          <w:lang w:val="en-GB"/>
        </w:rPr>
        <w:tab/>
      </w:r>
      <w:r w:rsidRPr="008C2AF3">
        <w:rPr>
          <w:rFonts w:ascii="Times New Roman" w:hAnsi="Times New Roman"/>
          <w:sz w:val="24"/>
          <w:lang w:val="en-GB"/>
        </w:rPr>
        <w:t xml:space="preserve">1. </w:t>
      </w:r>
      <w:proofErr w:type="spellStart"/>
      <w:r w:rsidRPr="008C2AF3">
        <w:rPr>
          <w:rFonts w:ascii="Times New Roman" w:hAnsi="Times New Roman"/>
          <w:sz w:val="24"/>
          <w:lang w:val="en-GB"/>
        </w:rPr>
        <w:t>Prof.</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Dr.</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Jauhari</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Dahalan</w:t>
      </w:r>
      <w:proofErr w:type="spellEnd"/>
      <w:r w:rsidRPr="008C2AF3">
        <w:rPr>
          <w:rFonts w:ascii="Times New Roman" w:hAnsi="Times New Roman"/>
          <w:sz w:val="24"/>
          <w:lang w:val="en-GB"/>
        </w:rPr>
        <w:t xml:space="preserve"> </w:t>
      </w:r>
    </w:p>
    <w:p w:rsidR="00442064" w:rsidRPr="008C2AF3" w:rsidRDefault="00442064" w:rsidP="00442064">
      <w:pPr>
        <w:spacing w:after="0" w:line="240" w:lineRule="auto"/>
        <w:jc w:val="both"/>
        <w:rPr>
          <w:rFonts w:ascii="Times New Roman" w:hAnsi="Times New Roman"/>
          <w:sz w:val="24"/>
          <w:lang w:val="en-GB"/>
        </w:rPr>
      </w:pPr>
      <w:r w:rsidRPr="008C2AF3">
        <w:rPr>
          <w:rFonts w:ascii="Times New Roman" w:hAnsi="Times New Roman"/>
          <w:b/>
          <w:sz w:val="24"/>
          <w:lang w:val="en-GB"/>
        </w:rPr>
        <w:tab/>
      </w:r>
      <w:r w:rsidRPr="008C2AF3">
        <w:rPr>
          <w:rFonts w:ascii="Times New Roman" w:hAnsi="Times New Roman"/>
          <w:b/>
          <w:sz w:val="24"/>
          <w:lang w:val="en-GB"/>
        </w:rPr>
        <w:tab/>
      </w:r>
      <w:r w:rsidRPr="008C2AF3">
        <w:rPr>
          <w:rFonts w:ascii="Times New Roman" w:hAnsi="Times New Roman"/>
          <w:b/>
          <w:sz w:val="24"/>
          <w:lang w:val="en-GB"/>
        </w:rPr>
        <w:tab/>
      </w:r>
      <w:r w:rsidRPr="008C2AF3">
        <w:rPr>
          <w:rFonts w:ascii="Times New Roman" w:hAnsi="Times New Roman"/>
          <w:b/>
          <w:sz w:val="24"/>
          <w:lang w:val="en-GB"/>
        </w:rPr>
        <w:tab/>
      </w:r>
      <w:r w:rsidRPr="008C2AF3">
        <w:rPr>
          <w:rFonts w:ascii="Times New Roman" w:hAnsi="Times New Roman"/>
          <w:sz w:val="24"/>
          <w:lang w:val="en-GB"/>
        </w:rPr>
        <w:t xml:space="preserve">2. </w:t>
      </w:r>
      <w:proofErr w:type="spellStart"/>
      <w:r w:rsidRPr="008C2AF3">
        <w:rPr>
          <w:rFonts w:ascii="Times New Roman" w:hAnsi="Times New Roman"/>
          <w:sz w:val="24"/>
          <w:lang w:val="en-GB"/>
        </w:rPr>
        <w:t>Dr.</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Mukriz</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Izraf</w:t>
      </w:r>
      <w:proofErr w:type="spellEnd"/>
      <w:r w:rsidRPr="008C2AF3">
        <w:rPr>
          <w:rFonts w:ascii="Times New Roman" w:hAnsi="Times New Roman"/>
          <w:sz w:val="24"/>
          <w:lang w:val="en-GB"/>
        </w:rPr>
        <w:t xml:space="preserve"> </w:t>
      </w:r>
      <w:proofErr w:type="spellStart"/>
      <w:r w:rsidRPr="008C2AF3">
        <w:rPr>
          <w:rFonts w:ascii="Times New Roman" w:hAnsi="Times New Roman"/>
          <w:sz w:val="24"/>
          <w:lang w:val="en-GB"/>
        </w:rPr>
        <w:t>Azman</w:t>
      </w:r>
      <w:proofErr w:type="spellEnd"/>
      <w:r w:rsidRPr="008C2AF3">
        <w:rPr>
          <w:rFonts w:ascii="Times New Roman" w:hAnsi="Times New Roman"/>
          <w:sz w:val="24"/>
          <w:lang w:val="en-GB"/>
        </w:rPr>
        <w:t xml:space="preserve"> Aziz</w:t>
      </w:r>
    </w:p>
    <w:p w:rsidR="00442064" w:rsidRPr="008C2AF3" w:rsidRDefault="00442064" w:rsidP="00442064">
      <w:pPr>
        <w:spacing w:after="0" w:line="240" w:lineRule="auto"/>
        <w:jc w:val="both"/>
        <w:rPr>
          <w:rFonts w:ascii="Times New Roman" w:hAnsi="Times New Roman"/>
          <w:sz w:val="24"/>
          <w:lang w:val="en-GB"/>
        </w:rPr>
      </w:pPr>
      <w:r w:rsidRPr="008C2AF3">
        <w:rPr>
          <w:rFonts w:ascii="Times New Roman" w:hAnsi="Times New Roman"/>
          <w:b/>
          <w:sz w:val="24"/>
          <w:lang w:val="en-GB"/>
        </w:rPr>
        <w:t>DEGREE AWARDED:</w:t>
      </w:r>
      <w:r w:rsidRPr="008C2AF3">
        <w:rPr>
          <w:rFonts w:ascii="Times New Roman" w:hAnsi="Times New Roman"/>
          <w:sz w:val="24"/>
          <w:lang w:val="en-GB"/>
        </w:rPr>
        <w:tab/>
        <w:t>Doctor of Philosophy (</w:t>
      </w:r>
      <w:proofErr w:type="spellStart"/>
      <w:r w:rsidRPr="008C2AF3">
        <w:rPr>
          <w:rFonts w:ascii="Times New Roman" w:hAnsi="Times New Roman"/>
          <w:sz w:val="24"/>
          <w:lang w:val="en-GB"/>
        </w:rPr>
        <w:t>Ph.D</w:t>
      </w:r>
      <w:proofErr w:type="spellEnd"/>
      <w:r w:rsidRPr="008C2AF3">
        <w:rPr>
          <w:rFonts w:ascii="Times New Roman" w:hAnsi="Times New Roman"/>
          <w:sz w:val="24"/>
          <w:lang w:val="en-GB"/>
        </w:rPr>
        <w:t xml:space="preserve">) in Economics </w:t>
      </w:r>
    </w:p>
    <w:p w:rsidR="00442064" w:rsidRPr="008C2AF3" w:rsidRDefault="00442064" w:rsidP="00442064">
      <w:pPr>
        <w:spacing w:after="0" w:line="240" w:lineRule="auto"/>
        <w:jc w:val="both"/>
        <w:rPr>
          <w:rFonts w:ascii="Times New Roman" w:hAnsi="Times New Roman"/>
          <w:sz w:val="24"/>
          <w:lang w:val="en-GB"/>
        </w:rPr>
      </w:pPr>
      <w:r w:rsidRPr="008C2AF3">
        <w:rPr>
          <w:rFonts w:ascii="Times New Roman" w:hAnsi="Times New Roman"/>
          <w:b/>
          <w:sz w:val="23"/>
          <w:szCs w:val="23"/>
          <w:lang w:val="en-GB"/>
        </w:rPr>
        <w:t>YEAR OF GRADUATION:</w:t>
      </w:r>
      <w:r w:rsidRPr="008C2AF3">
        <w:rPr>
          <w:rFonts w:ascii="Times New Roman" w:hAnsi="Times New Roman"/>
          <w:sz w:val="24"/>
          <w:lang w:val="en-GB"/>
        </w:rPr>
        <w:tab/>
        <w:t>2016</w:t>
      </w: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64"/>
    <w:rsid w:val="00442064"/>
    <w:rsid w:val="00741A6E"/>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Company>Hewlett-Packard</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2018-01-09T17:46:00Z</dcterms:created>
  <dcterms:modified xsi:type="dcterms:W3CDTF">2018-01-09T17:46:00Z</dcterms:modified>
</cp:coreProperties>
</file>