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1" w:rsidRPr="00912D6E" w:rsidRDefault="00923187" w:rsidP="00016011">
      <w:pPr>
        <w:spacing w:after="0" w:line="240" w:lineRule="auto"/>
        <w:jc w:val="center"/>
        <w:rPr>
          <w:rFonts w:ascii="Times New Roman" w:hAnsi="Times New Roman" w:cs="Times New Roman"/>
          <w:b/>
          <w:sz w:val="24"/>
          <w:szCs w:val="24"/>
        </w:rPr>
      </w:pPr>
      <w:r w:rsidRPr="00912D6E">
        <w:rPr>
          <w:rFonts w:ascii="Times New Roman" w:hAnsi="Times New Roman" w:cs="Times New Roman"/>
          <w:b/>
          <w:sz w:val="24"/>
          <w:szCs w:val="24"/>
        </w:rPr>
        <w:t>Socio-economic Characteristics and Informal Credit System Patronage in Cross River State</w:t>
      </w:r>
      <w:r w:rsidR="00C37BFD">
        <w:rPr>
          <w:rFonts w:ascii="Times New Roman" w:hAnsi="Times New Roman" w:cs="Times New Roman"/>
          <w:b/>
          <w:sz w:val="24"/>
          <w:szCs w:val="24"/>
        </w:rPr>
        <w:t>*</w:t>
      </w:r>
    </w:p>
    <w:p w:rsidR="00016011" w:rsidRDefault="00016011" w:rsidP="00016011">
      <w:pPr>
        <w:spacing w:after="0" w:line="240" w:lineRule="auto"/>
        <w:jc w:val="center"/>
        <w:rPr>
          <w:rFonts w:ascii="Times New Roman" w:hAnsi="Times New Roman" w:cs="Times New Roman"/>
          <w:b/>
          <w:sz w:val="24"/>
          <w:szCs w:val="24"/>
        </w:rPr>
      </w:pPr>
    </w:p>
    <w:p w:rsidR="00F34E9C" w:rsidRDefault="00F34E9C" w:rsidP="00016011">
      <w:pPr>
        <w:spacing w:after="0" w:line="240" w:lineRule="auto"/>
        <w:jc w:val="center"/>
        <w:rPr>
          <w:rFonts w:ascii="Times New Roman" w:hAnsi="Times New Roman" w:cs="Times New Roman"/>
          <w:b/>
          <w:sz w:val="24"/>
          <w:szCs w:val="24"/>
        </w:rPr>
      </w:pPr>
    </w:p>
    <w:p w:rsidR="00F34E9C" w:rsidRDefault="00F34E9C" w:rsidP="00016011">
      <w:pPr>
        <w:spacing w:after="0" w:line="240" w:lineRule="auto"/>
        <w:jc w:val="center"/>
        <w:rPr>
          <w:rFonts w:ascii="Times New Roman" w:hAnsi="Times New Roman" w:cs="Times New Roman"/>
          <w:b/>
          <w:sz w:val="24"/>
          <w:szCs w:val="24"/>
        </w:rPr>
      </w:pPr>
    </w:p>
    <w:p w:rsidR="00F34E9C" w:rsidRDefault="00F34E9C" w:rsidP="00016011">
      <w:pPr>
        <w:spacing w:after="0" w:line="240" w:lineRule="auto"/>
        <w:jc w:val="center"/>
        <w:rPr>
          <w:rFonts w:ascii="Times New Roman" w:hAnsi="Times New Roman" w:cs="Times New Roman"/>
          <w:b/>
          <w:sz w:val="24"/>
          <w:szCs w:val="24"/>
        </w:rPr>
      </w:pPr>
    </w:p>
    <w:p w:rsidR="00F34E9C" w:rsidRDefault="00F34E9C" w:rsidP="00016011">
      <w:pPr>
        <w:spacing w:after="0" w:line="240" w:lineRule="auto"/>
        <w:jc w:val="center"/>
        <w:rPr>
          <w:rFonts w:ascii="Times New Roman" w:hAnsi="Times New Roman" w:cs="Times New Roman"/>
          <w:b/>
          <w:sz w:val="24"/>
          <w:szCs w:val="24"/>
        </w:rPr>
      </w:pPr>
    </w:p>
    <w:p w:rsidR="00F34E9C" w:rsidRDefault="00F34E9C" w:rsidP="00016011">
      <w:pPr>
        <w:spacing w:after="0" w:line="240" w:lineRule="auto"/>
        <w:jc w:val="center"/>
        <w:rPr>
          <w:rFonts w:ascii="Times New Roman" w:hAnsi="Times New Roman" w:cs="Times New Roman"/>
          <w:b/>
          <w:sz w:val="24"/>
          <w:szCs w:val="24"/>
        </w:rPr>
      </w:pPr>
    </w:p>
    <w:p w:rsidR="00F34E9C" w:rsidRDefault="00F34E9C" w:rsidP="00016011">
      <w:pPr>
        <w:spacing w:after="0" w:line="240" w:lineRule="auto"/>
        <w:jc w:val="center"/>
        <w:rPr>
          <w:rFonts w:ascii="Times New Roman" w:hAnsi="Times New Roman" w:cs="Times New Roman"/>
          <w:b/>
          <w:sz w:val="24"/>
          <w:szCs w:val="24"/>
        </w:rPr>
      </w:pPr>
    </w:p>
    <w:p w:rsidR="00F34E9C" w:rsidRPr="00912D6E" w:rsidRDefault="00F34E9C" w:rsidP="00016011">
      <w:pPr>
        <w:spacing w:after="0" w:line="240" w:lineRule="auto"/>
        <w:jc w:val="center"/>
        <w:rPr>
          <w:rFonts w:ascii="Times New Roman" w:hAnsi="Times New Roman" w:cs="Times New Roman"/>
          <w:b/>
          <w:sz w:val="24"/>
          <w:szCs w:val="24"/>
        </w:rPr>
      </w:pPr>
    </w:p>
    <w:p w:rsidR="00016011" w:rsidRPr="00912D6E" w:rsidRDefault="00016011" w:rsidP="00016011">
      <w:pPr>
        <w:spacing w:after="0" w:line="240" w:lineRule="auto"/>
        <w:jc w:val="center"/>
        <w:rPr>
          <w:rFonts w:ascii="Times New Roman" w:hAnsi="Times New Roman" w:cs="Times New Roman"/>
          <w:b/>
          <w:sz w:val="24"/>
          <w:szCs w:val="24"/>
        </w:rPr>
      </w:pPr>
    </w:p>
    <w:p w:rsidR="00016011" w:rsidRPr="00912D6E" w:rsidRDefault="00016011" w:rsidP="00016011">
      <w:pPr>
        <w:spacing w:after="0" w:line="240" w:lineRule="auto"/>
        <w:jc w:val="center"/>
        <w:rPr>
          <w:rFonts w:ascii="Times New Roman" w:hAnsi="Times New Roman" w:cs="Times New Roman"/>
          <w:b/>
          <w:sz w:val="24"/>
          <w:szCs w:val="24"/>
        </w:rPr>
      </w:pPr>
      <w:r w:rsidRPr="00912D6E">
        <w:rPr>
          <w:rFonts w:ascii="Times New Roman" w:hAnsi="Times New Roman" w:cs="Times New Roman"/>
          <w:b/>
          <w:sz w:val="24"/>
          <w:szCs w:val="24"/>
        </w:rPr>
        <w:t>Udensi Lawrence Okoronkwo</w:t>
      </w:r>
      <w:r w:rsidR="00F34E9C">
        <w:rPr>
          <w:rFonts w:ascii="Times New Roman" w:hAnsi="Times New Roman" w:cs="Times New Roman"/>
          <w:b/>
          <w:sz w:val="24"/>
          <w:szCs w:val="24"/>
        </w:rPr>
        <w:t xml:space="preserve"> (PhD)</w:t>
      </w:r>
    </w:p>
    <w:p w:rsidR="00016011" w:rsidRPr="00912D6E" w:rsidRDefault="00016011" w:rsidP="00016011">
      <w:pPr>
        <w:spacing w:after="0" w:line="240" w:lineRule="auto"/>
        <w:jc w:val="center"/>
        <w:rPr>
          <w:rFonts w:ascii="Times New Roman" w:hAnsi="Times New Roman" w:cs="Times New Roman"/>
          <w:sz w:val="24"/>
          <w:szCs w:val="24"/>
        </w:rPr>
      </w:pPr>
      <w:r w:rsidRPr="00912D6E">
        <w:rPr>
          <w:rFonts w:ascii="Times New Roman" w:hAnsi="Times New Roman" w:cs="Times New Roman"/>
          <w:sz w:val="24"/>
          <w:szCs w:val="24"/>
        </w:rPr>
        <w:t>Department of Sociology</w:t>
      </w:r>
    </w:p>
    <w:p w:rsidR="00016011" w:rsidRPr="00912D6E" w:rsidRDefault="00016011" w:rsidP="00016011">
      <w:pPr>
        <w:spacing w:after="0" w:line="240" w:lineRule="auto"/>
        <w:jc w:val="center"/>
        <w:rPr>
          <w:rFonts w:ascii="Times New Roman" w:hAnsi="Times New Roman" w:cs="Times New Roman"/>
          <w:sz w:val="24"/>
          <w:szCs w:val="24"/>
        </w:rPr>
      </w:pPr>
      <w:r w:rsidRPr="00912D6E">
        <w:rPr>
          <w:rFonts w:ascii="Times New Roman" w:hAnsi="Times New Roman" w:cs="Times New Roman"/>
          <w:sz w:val="24"/>
          <w:szCs w:val="24"/>
        </w:rPr>
        <w:t>Faculty of Humanities, Management and Social Sciences</w:t>
      </w:r>
    </w:p>
    <w:p w:rsidR="00016011" w:rsidRPr="00912D6E" w:rsidRDefault="00016011" w:rsidP="00016011">
      <w:pPr>
        <w:spacing w:after="0" w:line="240" w:lineRule="auto"/>
        <w:jc w:val="center"/>
        <w:rPr>
          <w:rFonts w:ascii="Times New Roman" w:hAnsi="Times New Roman" w:cs="Times New Roman"/>
          <w:sz w:val="24"/>
          <w:szCs w:val="24"/>
        </w:rPr>
      </w:pPr>
      <w:r w:rsidRPr="00912D6E">
        <w:rPr>
          <w:rFonts w:ascii="Times New Roman" w:hAnsi="Times New Roman" w:cs="Times New Roman"/>
          <w:sz w:val="24"/>
          <w:szCs w:val="24"/>
        </w:rPr>
        <w:t xml:space="preserve">Federal University of </w:t>
      </w:r>
      <w:proofErr w:type="spellStart"/>
      <w:r w:rsidRPr="00912D6E">
        <w:rPr>
          <w:rFonts w:ascii="Times New Roman" w:hAnsi="Times New Roman" w:cs="Times New Roman"/>
          <w:sz w:val="24"/>
          <w:szCs w:val="24"/>
        </w:rPr>
        <w:t>Kashere</w:t>
      </w:r>
      <w:proofErr w:type="spellEnd"/>
    </w:p>
    <w:p w:rsidR="00016011" w:rsidRPr="00912D6E" w:rsidRDefault="00016011" w:rsidP="00016011">
      <w:pPr>
        <w:spacing w:after="0" w:line="240" w:lineRule="auto"/>
        <w:jc w:val="center"/>
        <w:rPr>
          <w:rFonts w:ascii="Times New Roman" w:hAnsi="Times New Roman" w:cs="Times New Roman"/>
          <w:sz w:val="24"/>
          <w:szCs w:val="24"/>
        </w:rPr>
      </w:pPr>
      <w:proofErr w:type="gramStart"/>
      <w:r w:rsidRPr="00912D6E">
        <w:rPr>
          <w:rFonts w:ascii="Times New Roman" w:hAnsi="Times New Roman" w:cs="Times New Roman"/>
          <w:sz w:val="24"/>
          <w:szCs w:val="24"/>
        </w:rPr>
        <w:t xml:space="preserve">P.M.B. 0182 </w:t>
      </w:r>
      <w:proofErr w:type="spellStart"/>
      <w:r w:rsidRPr="00912D6E">
        <w:rPr>
          <w:rFonts w:ascii="Times New Roman" w:hAnsi="Times New Roman" w:cs="Times New Roman"/>
          <w:sz w:val="24"/>
          <w:szCs w:val="24"/>
        </w:rPr>
        <w:t>Gombe</w:t>
      </w:r>
      <w:proofErr w:type="spellEnd"/>
      <w:r w:rsidRPr="00912D6E">
        <w:rPr>
          <w:rFonts w:ascii="Times New Roman" w:hAnsi="Times New Roman" w:cs="Times New Roman"/>
          <w:sz w:val="24"/>
          <w:szCs w:val="24"/>
        </w:rPr>
        <w:t xml:space="preserve">, </w:t>
      </w:r>
      <w:proofErr w:type="spellStart"/>
      <w:r w:rsidRPr="00912D6E">
        <w:rPr>
          <w:rFonts w:ascii="Times New Roman" w:hAnsi="Times New Roman" w:cs="Times New Roman"/>
          <w:sz w:val="24"/>
          <w:szCs w:val="24"/>
        </w:rPr>
        <w:t>Gombe</w:t>
      </w:r>
      <w:proofErr w:type="spellEnd"/>
      <w:r w:rsidRPr="00912D6E">
        <w:rPr>
          <w:rFonts w:ascii="Times New Roman" w:hAnsi="Times New Roman" w:cs="Times New Roman"/>
          <w:sz w:val="24"/>
          <w:szCs w:val="24"/>
        </w:rPr>
        <w:t xml:space="preserve"> State, Nigeria.</w:t>
      </w:r>
      <w:proofErr w:type="gramEnd"/>
    </w:p>
    <w:p w:rsidR="00016011" w:rsidRPr="00912D6E" w:rsidRDefault="00F34E9C" w:rsidP="00016011">
      <w:pPr>
        <w:spacing w:after="0" w:line="240" w:lineRule="auto"/>
        <w:jc w:val="center"/>
        <w:rPr>
          <w:rFonts w:ascii="Times New Roman" w:hAnsi="Times New Roman" w:cs="Times New Roman"/>
          <w:sz w:val="24"/>
          <w:szCs w:val="24"/>
        </w:rPr>
      </w:pPr>
      <w:hyperlink r:id="rId7" w:history="1">
        <w:r w:rsidR="002B46CF" w:rsidRPr="00912D6E">
          <w:rPr>
            <w:rStyle w:val="Hyperlink"/>
            <w:rFonts w:ascii="Times New Roman" w:hAnsi="Times New Roman" w:cs="Times New Roman"/>
            <w:color w:val="auto"/>
            <w:sz w:val="24"/>
            <w:szCs w:val="24"/>
            <w:u w:val="none"/>
          </w:rPr>
          <w:t>ludensi@ymail.com</w:t>
        </w:r>
      </w:hyperlink>
      <w:r w:rsidR="00016011" w:rsidRPr="00912D6E">
        <w:rPr>
          <w:rFonts w:ascii="Times New Roman" w:hAnsi="Times New Roman" w:cs="Times New Roman"/>
          <w:sz w:val="24"/>
          <w:szCs w:val="24"/>
        </w:rPr>
        <w:t>; +2348063988141</w:t>
      </w:r>
    </w:p>
    <w:p w:rsidR="0030614E" w:rsidRDefault="0030614E"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Pr="00912D6E" w:rsidRDefault="00F34E9C" w:rsidP="00016011">
      <w:pPr>
        <w:spacing w:after="0" w:line="240" w:lineRule="auto"/>
        <w:jc w:val="center"/>
        <w:rPr>
          <w:rFonts w:ascii="Times New Roman" w:hAnsi="Times New Roman" w:cs="Times New Roman"/>
          <w:sz w:val="24"/>
          <w:szCs w:val="24"/>
        </w:rPr>
      </w:pPr>
    </w:p>
    <w:p w:rsidR="00016011" w:rsidRPr="00912D6E" w:rsidRDefault="0030614E" w:rsidP="00016011">
      <w:pPr>
        <w:spacing w:after="0" w:line="240" w:lineRule="auto"/>
        <w:jc w:val="center"/>
        <w:rPr>
          <w:rFonts w:ascii="Times New Roman" w:hAnsi="Times New Roman" w:cs="Times New Roman"/>
          <w:b/>
          <w:sz w:val="24"/>
          <w:szCs w:val="24"/>
        </w:rPr>
      </w:pPr>
      <w:r w:rsidRPr="00912D6E">
        <w:rPr>
          <w:rFonts w:ascii="Times New Roman" w:hAnsi="Times New Roman" w:cs="Times New Roman"/>
          <w:b/>
          <w:sz w:val="24"/>
          <w:szCs w:val="24"/>
        </w:rPr>
        <w:t>&amp;</w:t>
      </w:r>
    </w:p>
    <w:p w:rsidR="0030614E" w:rsidRDefault="0030614E"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Pr="00912D6E" w:rsidRDefault="00F34E9C" w:rsidP="00016011">
      <w:pPr>
        <w:spacing w:after="0" w:line="240" w:lineRule="auto"/>
        <w:jc w:val="center"/>
        <w:rPr>
          <w:rFonts w:ascii="Times New Roman" w:hAnsi="Times New Roman" w:cs="Times New Roman"/>
          <w:sz w:val="24"/>
          <w:szCs w:val="24"/>
        </w:rPr>
      </w:pPr>
    </w:p>
    <w:p w:rsidR="00016011" w:rsidRPr="00912D6E" w:rsidRDefault="00016011" w:rsidP="00016011">
      <w:pPr>
        <w:spacing w:after="0" w:line="240" w:lineRule="auto"/>
        <w:jc w:val="center"/>
        <w:rPr>
          <w:rFonts w:ascii="Times New Roman" w:hAnsi="Times New Roman" w:cs="Times New Roman"/>
          <w:b/>
          <w:sz w:val="24"/>
          <w:szCs w:val="24"/>
        </w:rPr>
      </w:pPr>
      <w:proofErr w:type="spellStart"/>
      <w:r w:rsidRPr="00912D6E">
        <w:rPr>
          <w:rFonts w:ascii="Times New Roman" w:hAnsi="Times New Roman" w:cs="Times New Roman"/>
          <w:b/>
          <w:sz w:val="24"/>
          <w:szCs w:val="24"/>
        </w:rPr>
        <w:t>Aliyu</w:t>
      </w:r>
      <w:proofErr w:type="spellEnd"/>
      <w:r w:rsidRPr="00912D6E">
        <w:rPr>
          <w:rFonts w:ascii="Times New Roman" w:hAnsi="Times New Roman" w:cs="Times New Roman"/>
          <w:b/>
          <w:sz w:val="24"/>
          <w:szCs w:val="24"/>
        </w:rPr>
        <w:t xml:space="preserve"> Mustapha</w:t>
      </w:r>
    </w:p>
    <w:p w:rsidR="00016011" w:rsidRPr="00912D6E" w:rsidRDefault="00016011" w:rsidP="00016011">
      <w:pPr>
        <w:spacing w:after="0" w:line="240" w:lineRule="auto"/>
        <w:jc w:val="center"/>
        <w:rPr>
          <w:rFonts w:ascii="Times New Roman" w:hAnsi="Times New Roman" w:cs="Times New Roman"/>
          <w:sz w:val="24"/>
          <w:szCs w:val="24"/>
        </w:rPr>
      </w:pPr>
      <w:r w:rsidRPr="00912D6E">
        <w:rPr>
          <w:rFonts w:ascii="Times New Roman" w:hAnsi="Times New Roman" w:cs="Times New Roman"/>
          <w:sz w:val="24"/>
          <w:szCs w:val="24"/>
        </w:rPr>
        <w:t>Department of Sociology</w:t>
      </w:r>
    </w:p>
    <w:p w:rsidR="00016011" w:rsidRPr="00912D6E" w:rsidRDefault="00016011" w:rsidP="00016011">
      <w:pPr>
        <w:spacing w:after="0" w:line="240" w:lineRule="auto"/>
        <w:jc w:val="center"/>
        <w:rPr>
          <w:rFonts w:ascii="Times New Roman" w:hAnsi="Times New Roman" w:cs="Times New Roman"/>
          <w:sz w:val="24"/>
          <w:szCs w:val="24"/>
        </w:rPr>
      </w:pPr>
      <w:r w:rsidRPr="00912D6E">
        <w:rPr>
          <w:rFonts w:ascii="Times New Roman" w:hAnsi="Times New Roman" w:cs="Times New Roman"/>
          <w:sz w:val="24"/>
          <w:szCs w:val="24"/>
        </w:rPr>
        <w:t>Faculty of Humanities, Management and Social Sciences</w:t>
      </w:r>
    </w:p>
    <w:p w:rsidR="00016011" w:rsidRPr="00912D6E" w:rsidRDefault="00016011" w:rsidP="00016011">
      <w:pPr>
        <w:spacing w:after="0" w:line="240" w:lineRule="auto"/>
        <w:jc w:val="center"/>
        <w:rPr>
          <w:rFonts w:ascii="Times New Roman" w:hAnsi="Times New Roman" w:cs="Times New Roman"/>
          <w:sz w:val="24"/>
          <w:szCs w:val="24"/>
        </w:rPr>
      </w:pPr>
      <w:r w:rsidRPr="00912D6E">
        <w:rPr>
          <w:rFonts w:ascii="Times New Roman" w:hAnsi="Times New Roman" w:cs="Times New Roman"/>
          <w:sz w:val="24"/>
          <w:szCs w:val="24"/>
        </w:rPr>
        <w:t xml:space="preserve">Federal University of </w:t>
      </w:r>
      <w:proofErr w:type="spellStart"/>
      <w:r w:rsidRPr="00912D6E">
        <w:rPr>
          <w:rFonts w:ascii="Times New Roman" w:hAnsi="Times New Roman" w:cs="Times New Roman"/>
          <w:sz w:val="24"/>
          <w:szCs w:val="24"/>
        </w:rPr>
        <w:t>Kashere</w:t>
      </w:r>
      <w:proofErr w:type="spellEnd"/>
    </w:p>
    <w:p w:rsidR="00016011" w:rsidRPr="00912D6E" w:rsidRDefault="00016011" w:rsidP="00016011">
      <w:pPr>
        <w:spacing w:after="0" w:line="240" w:lineRule="auto"/>
        <w:jc w:val="center"/>
        <w:rPr>
          <w:rFonts w:ascii="Times New Roman" w:hAnsi="Times New Roman" w:cs="Times New Roman"/>
          <w:sz w:val="24"/>
          <w:szCs w:val="24"/>
        </w:rPr>
      </w:pPr>
      <w:proofErr w:type="gramStart"/>
      <w:r w:rsidRPr="00912D6E">
        <w:rPr>
          <w:rFonts w:ascii="Times New Roman" w:hAnsi="Times New Roman" w:cs="Times New Roman"/>
          <w:sz w:val="24"/>
          <w:szCs w:val="24"/>
        </w:rPr>
        <w:t xml:space="preserve">P.M.B. 0182 </w:t>
      </w:r>
      <w:proofErr w:type="spellStart"/>
      <w:r w:rsidRPr="00912D6E">
        <w:rPr>
          <w:rFonts w:ascii="Times New Roman" w:hAnsi="Times New Roman" w:cs="Times New Roman"/>
          <w:sz w:val="24"/>
          <w:szCs w:val="24"/>
        </w:rPr>
        <w:t>Gombe</w:t>
      </w:r>
      <w:proofErr w:type="spellEnd"/>
      <w:r w:rsidRPr="00912D6E">
        <w:rPr>
          <w:rFonts w:ascii="Times New Roman" w:hAnsi="Times New Roman" w:cs="Times New Roman"/>
          <w:sz w:val="24"/>
          <w:szCs w:val="24"/>
        </w:rPr>
        <w:t xml:space="preserve">, </w:t>
      </w:r>
      <w:proofErr w:type="spellStart"/>
      <w:r w:rsidRPr="00912D6E">
        <w:rPr>
          <w:rFonts w:ascii="Times New Roman" w:hAnsi="Times New Roman" w:cs="Times New Roman"/>
          <w:sz w:val="24"/>
          <w:szCs w:val="24"/>
        </w:rPr>
        <w:t>Gombe</w:t>
      </w:r>
      <w:proofErr w:type="spellEnd"/>
      <w:r w:rsidRPr="00912D6E">
        <w:rPr>
          <w:rFonts w:ascii="Times New Roman" w:hAnsi="Times New Roman" w:cs="Times New Roman"/>
          <w:sz w:val="24"/>
          <w:szCs w:val="24"/>
        </w:rPr>
        <w:t xml:space="preserve"> State, Nigeria.</w:t>
      </w:r>
      <w:proofErr w:type="gramEnd"/>
    </w:p>
    <w:p w:rsidR="00016011" w:rsidRPr="00912D6E" w:rsidRDefault="00F34E9C" w:rsidP="00016011">
      <w:pPr>
        <w:spacing w:after="0" w:line="240" w:lineRule="auto"/>
        <w:jc w:val="center"/>
        <w:rPr>
          <w:rFonts w:ascii="Times New Roman" w:hAnsi="Times New Roman" w:cs="Times New Roman"/>
          <w:sz w:val="24"/>
          <w:szCs w:val="24"/>
        </w:rPr>
      </w:pPr>
      <w:hyperlink r:id="rId8" w:history="1">
        <w:r w:rsidR="002B46CF" w:rsidRPr="00912D6E">
          <w:rPr>
            <w:rStyle w:val="Hyperlink"/>
            <w:rFonts w:ascii="Times New Roman" w:hAnsi="Times New Roman" w:cs="Times New Roman"/>
            <w:color w:val="auto"/>
            <w:sz w:val="24"/>
            <w:szCs w:val="24"/>
            <w:u w:val="none"/>
          </w:rPr>
          <w:t>aliyumust@gmail.com</w:t>
        </w:r>
      </w:hyperlink>
      <w:r w:rsidR="002B46CF" w:rsidRPr="00912D6E">
        <w:rPr>
          <w:rFonts w:ascii="Times New Roman" w:hAnsi="Times New Roman" w:cs="Times New Roman"/>
          <w:sz w:val="24"/>
          <w:szCs w:val="24"/>
        </w:rPr>
        <w:t xml:space="preserve"> +2348033864633</w:t>
      </w:r>
    </w:p>
    <w:p w:rsidR="00255C6A" w:rsidRDefault="00255C6A" w:rsidP="00016011">
      <w:pPr>
        <w:spacing w:after="0" w:line="240" w:lineRule="auto"/>
        <w:jc w:val="center"/>
        <w:rPr>
          <w:rFonts w:ascii="Times New Roman" w:hAnsi="Times New Roman" w:cs="Times New Roman"/>
          <w:sz w:val="24"/>
          <w:szCs w:val="24"/>
        </w:rPr>
      </w:pPr>
    </w:p>
    <w:p w:rsidR="00C37BFD" w:rsidRDefault="00C37BFD" w:rsidP="00016011">
      <w:pPr>
        <w:spacing w:after="0" w:line="240" w:lineRule="auto"/>
        <w:jc w:val="center"/>
        <w:rPr>
          <w:rFonts w:ascii="Times New Roman" w:hAnsi="Times New Roman" w:cs="Times New Roman"/>
          <w:sz w:val="24"/>
          <w:szCs w:val="24"/>
        </w:rPr>
      </w:pPr>
    </w:p>
    <w:p w:rsidR="00C37BFD" w:rsidRDefault="00C37BFD"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F34E9C" w:rsidRDefault="00F34E9C" w:rsidP="00016011">
      <w:pPr>
        <w:spacing w:after="0" w:line="240" w:lineRule="auto"/>
        <w:jc w:val="center"/>
        <w:rPr>
          <w:rFonts w:ascii="Times New Roman" w:hAnsi="Times New Roman" w:cs="Times New Roman"/>
          <w:sz w:val="24"/>
          <w:szCs w:val="24"/>
        </w:rPr>
      </w:pPr>
    </w:p>
    <w:p w:rsidR="00C37BFD" w:rsidRDefault="00C37BFD" w:rsidP="00016011">
      <w:pPr>
        <w:spacing w:after="0" w:line="240" w:lineRule="auto"/>
        <w:jc w:val="center"/>
        <w:rPr>
          <w:rFonts w:ascii="Times New Roman" w:hAnsi="Times New Roman" w:cs="Times New Roman"/>
          <w:sz w:val="24"/>
          <w:szCs w:val="24"/>
        </w:rPr>
      </w:pPr>
    </w:p>
    <w:p w:rsidR="00C37BFD" w:rsidRDefault="00C37BFD" w:rsidP="00016011">
      <w:pPr>
        <w:spacing w:after="0" w:line="240" w:lineRule="auto"/>
        <w:jc w:val="center"/>
        <w:rPr>
          <w:rFonts w:ascii="Times New Roman" w:hAnsi="Times New Roman" w:cs="Times New Roman"/>
          <w:sz w:val="24"/>
          <w:szCs w:val="24"/>
        </w:rPr>
      </w:pPr>
    </w:p>
    <w:p w:rsidR="00C37BFD" w:rsidRPr="00C37BFD" w:rsidRDefault="00C37BFD" w:rsidP="00C37BFD">
      <w:pPr>
        <w:pStyle w:val="ListParagraph"/>
        <w:numPr>
          <w:ilvl w:val="0"/>
          <w:numId w:val="26"/>
        </w:numPr>
        <w:jc w:val="both"/>
      </w:pPr>
      <w:r w:rsidRPr="0019317D">
        <w:t xml:space="preserve">Presented at </w:t>
      </w:r>
      <w:r>
        <w:t>23rd</w:t>
      </w:r>
      <w:r w:rsidRPr="0019317D">
        <w:t xml:space="preserve"> Annual Conference of Nigerian Anthropological and Sociological Association. Theme: </w:t>
      </w:r>
      <w:r>
        <w:t>Good Governance, Social Order and Development in Nigeria. Held at the University of Port Harcourt</w:t>
      </w:r>
      <w:r w:rsidRPr="0019317D">
        <w:t xml:space="preserve">. </w:t>
      </w:r>
      <w:proofErr w:type="spellStart"/>
      <w:r>
        <w:t>Choba</w:t>
      </w:r>
      <w:proofErr w:type="spellEnd"/>
      <w:r>
        <w:t>, Rivers</w:t>
      </w:r>
      <w:r w:rsidRPr="0019317D">
        <w:t xml:space="preserve"> State. November 3rd – 5</w:t>
      </w:r>
      <w:r w:rsidRPr="0019317D">
        <w:rPr>
          <w:vertAlign w:val="superscript"/>
        </w:rPr>
        <w:t>th</w:t>
      </w:r>
      <w:r>
        <w:t>, 2018</w:t>
      </w:r>
      <w:r w:rsidRPr="0019317D">
        <w:t>.</w:t>
      </w:r>
    </w:p>
    <w:p w:rsidR="00C37BFD" w:rsidRDefault="00C37BFD" w:rsidP="00F34E9C">
      <w:pPr>
        <w:spacing w:after="0" w:line="240" w:lineRule="auto"/>
        <w:rPr>
          <w:rFonts w:ascii="Times New Roman" w:hAnsi="Times New Roman" w:cs="Times New Roman"/>
          <w:sz w:val="24"/>
          <w:szCs w:val="24"/>
        </w:rPr>
      </w:pPr>
    </w:p>
    <w:p w:rsidR="00255C6A" w:rsidRPr="00912D6E" w:rsidRDefault="00255C6A" w:rsidP="00016011">
      <w:pPr>
        <w:spacing w:after="0" w:line="240" w:lineRule="auto"/>
        <w:jc w:val="center"/>
        <w:rPr>
          <w:rFonts w:ascii="Times New Roman" w:hAnsi="Times New Roman" w:cs="Times New Roman"/>
          <w:sz w:val="24"/>
          <w:szCs w:val="24"/>
        </w:rPr>
      </w:pPr>
      <w:bookmarkStart w:id="0" w:name="_GoBack"/>
      <w:bookmarkEnd w:id="0"/>
      <w:r w:rsidRPr="00912D6E">
        <w:rPr>
          <w:rFonts w:ascii="Times New Roman" w:hAnsi="Times New Roman" w:cs="Times New Roman"/>
          <w:b/>
          <w:sz w:val="24"/>
          <w:szCs w:val="24"/>
        </w:rPr>
        <w:lastRenderedPageBreak/>
        <w:t>Abstract</w:t>
      </w:r>
      <w:r w:rsidRPr="00912D6E">
        <w:rPr>
          <w:rFonts w:ascii="Times New Roman" w:hAnsi="Times New Roman" w:cs="Times New Roman"/>
          <w:sz w:val="24"/>
          <w:szCs w:val="24"/>
        </w:rPr>
        <w:t xml:space="preserve"> </w:t>
      </w:r>
    </w:p>
    <w:p w:rsidR="00255C6A" w:rsidRPr="00B85F74" w:rsidRDefault="00255C6A" w:rsidP="00B85F74">
      <w:pPr>
        <w:spacing w:after="0" w:line="240" w:lineRule="auto"/>
        <w:jc w:val="both"/>
        <w:rPr>
          <w:rFonts w:ascii="Times New Roman" w:hAnsi="Times New Roman" w:cs="Times New Roman"/>
          <w:color w:val="000000"/>
          <w:sz w:val="24"/>
          <w:szCs w:val="24"/>
        </w:rPr>
      </w:pPr>
      <w:r w:rsidRPr="00912D6E">
        <w:rPr>
          <w:rFonts w:ascii="Times New Roman" w:hAnsi="Times New Roman" w:cs="Times New Roman"/>
          <w:sz w:val="24"/>
          <w:szCs w:val="24"/>
        </w:rPr>
        <w:t xml:space="preserve">This study investigates </w:t>
      </w:r>
      <w:r w:rsidR="0030614E" w:rsidRPr="00912D6E">
        <w:rPr>
          <w:rFonts w:ascii="Times New Roman" w:hAnsi="Times New Roman" w:cs="Times New Roman"/>
          <w:sz w:val="24"/>
          <w:szCs w:val="24"/>
        </w:rPr>
        <w:t>factors that influence</w:t>
      </w:r>
      <w:r w:rsidRPr="00912D6E">
        <w:rPr>
          <w:rFonts w:ascii="Times New Roman" w:hAnsi="Times New Roman" w:cs="Times New Roman"/>
          <w:sz w:val="24"/>
          <w:szCs w:val="24"/>
        </w:rPr>
        <w:t xml:space="preserve"> Informal Credit Systems patronage among rural dwellers in Cross River State. Survey design was adopted for this study. Using the multi stage sampling technique comprising cluster, simple random, snow-ball, purposive and accidental sampling techniques, </w:t>
      </w:r>
      <w:proofErr w:type="gramStart"/>
      <w:r w:rsidRPr="00912D6E">
        <w:rPr>
          <w:rFonts w:ascii="Times New Roman" w:hAnsi="Times New Roman" w:cs="Times New Roman"/>
          <w:sz w:val="24"/>
          <w:szCs w:val="24"/>
        </w:rPr>
        <w:t>567</w:t>
      </w:r>
      <w:proofErr w:type="gramEnd"/>
      <w:r w:rsidRPr="00912D6E">
        <w:rPr>
          <w:rFonts w:ascii="Times New Roman" w:hAnsi="Times New Roman" w:cs="Times New Roman"/>
          <w:sz w:val="24"/>
          <w:szCs w:val="24"/>
        </w:rPr>
        <w:t xml:space="preserve"> respondents emerged as the study sample. The study adopted quantitative data. The questionnaire consisted</w:t>
      </w:r>
      <w:r w:rsidR="0030614E" w:rsidRPr="00912D6E">
        <w:rPr>
          <w:rFonts w:ascii="Times New Roman" w:hAnsi="Times New Roman" w:cs="Times New Roman"/>
          <w:sz w:val="24"/>
          <w:szCs w:val="24"/>
        </w:rPr>
        <w:t xml:space="preserve"> of three</w:t>
      </w:r>
      <w:r w:rsidRPr="00912D6E">
        <w:rPr>
          <w:rFonts w:ascii="Times New Roman" w:hAnsi="Times New Roman" w:cs="Times New Roman"/>
          <w:sz w:val="24"/>
          <w:szCs w:val="24"/>
        </w:rPr>
        <w:t xml:space="preserve"> sect</w:t>
      </w:r>
      <w:r w:rsidR="0030614E" w:rsidRPr="00912D6E">
        <w:rPr>
          <w:rFonts w:ascii="Times New Roman" w:hAnsi="Times New Roman" w:cs="Times New Roman"/>
          <w:sz w:val="24"/>
          <w:szCs w:val="24"/>
        </w:rPr>
        <w:t>ions with 15</w:t>
      </w:r>
      <w:r w:rsidRPr="00912D6E">
        <w:rPr>
          <w:rFonts w:ascii="Times New Roman" w:hAnsi="Times New Roman" w:cs="Times New Roman"/>
          <w:sz w:val="24"/>
          <w:szCs w:val="24"/>
        </w:rPr>
        <w:t xml:space="preserve"> triangulated items. Descriptive statistics based on research questions was calculated usi</w:t>
      </w:r>
      <w:r w:rsidR="0030614E" w:rsidRPr="00912D6E">
        <w:rPr>
          <w:rFonts w:ascii="Times New Roman" w:hAnsi="Times New Roman" w:cs="Times New Roman"/>
          <w:sz w:val="24"/>
          <w:szCs w:val="24"/>
        </w:rPr>
        <w:t>ng frequency count and percentages</w:t>
      </w:r>
      <w:r w:rsidRPr="00912D6E">
        <w:rPr>
          <w:rFonts w:ascii="Times New Roman" w:hAnsi="Times New Roman" w:cs="Times New Roman"/>
          <w:sz w:val="24"/>
          <w:szCs w:val="24"/>
        </w:rPr>
        <w:t>. Independent t-test and analysis of variance (ANOVA) as well as least significant difference (LSD) test were employed to determine the influence of patrons’ socio-demographic variables on their utilization and usage of informal credit systems. Among other findings, the study revealed that</w:t>
      </w:r>
      <w:r w:rsidR="0030614E" w:rsidRPr="00912D6E">
        <w:rPr>
          <w:rFonts w:ascii="Times New Roman" w:hAnsi="Times New Roman" w:cs="Times New Roman"/>
          <w:sz w:val="24"/>
          <w:szCs w:val="24"/>
        </w:rPr>
        <w:t>:</w:t>
      </w:r>
      <w:r w:rsidRPr="00912D6E">
        <w:rPr>
          <w:rFonts w:ascii="Times New Roman" w:hAnsi="Times New Roman" w:cs="Times New Roman"/>
          <w:sz w:val="24"/>
          <w:szCs w:val="24"/>
        </w:rPr>
        <w:t xml:space="preserve"> patrons’ gender was significant in influencing their usage of rotatory saving as a form of informal credit systems; the relationship between the influence of patrons’ marital status and informal credit systems’ usage among the various categories of informal credit systems showed a significant usage in rotatory and fixed savings; higher demands and family responsibilities were found to be motivating factors for informal credit systems’ patronage among married patrons; household size significantly influenced informal credit systems usage for rotatory and fixed savings; patrons’ level of education did not have any influence on their usage of rotatory and fixed savings as f</w:t>
      </w:r>
      <w:r w:rsidR="00FA1D05" w:rsidRPr="00912D6E">
        <w:rPr>
          <w:rFonts w:ascii="Times New Roman" w:hAnsi="Times New Roman" w:cs="Times New Roman"/>
          <w:sz w:val="24"/>
          <w:szCs w:val="24"/>
        </w:rPr>
        <w:t>orms of informal credit systems</w:t>
      </w:r>
      <w:r w:rsidRPr="00912D6E">
        <w:rPr>
          <w:rFonts w:ascii="Times New Roman" w:hAnsi="Times New Roman" w:cs="Times New Roman"/>
          <w:sz w:val="24"/>
          <w:szCs w:val="24"/>
        </w:rPr>
        <w:t xml:space="preserve">. </w:t>
      </w:r>
      <w:r w:rsidR="00B85F74">
        <w:rPr>
          <w:rFonts w:ascii="Times New Roman" w:hAnsi="Times New Roman" w:cs="Times New Roman"/>
          <w:sz w:val="24"/>
          <w:szCs w:val="24"/>
        </w:rPr>
        <w:t xml:space="preserve">From the foregoing findings, evidence abound that the transactions of </w:t>
      </w:r>
      <w:r w:rsidR="00B85F74" w:rsidRPr="009956DC">
        <w:rPr>
          <w:rFonts w:ascii="Times New Roman" w:hAnsi="Times New Roman" w:cs="Times New Roman"/>
          <w:sz w:val="24"/>
        </w:rPr>
        <w:t>informal credit groups</w:t>
      </w:r>
      <w:r w:rsidR="00B85F74">
        <w:rPr>
          <w:rFonts w:ascii="Times New Roman" w:hAnsi="Times New Roman" w:cs="Times New Roman"/>
          <w:sz w:val="24"/>
          <w:szCs w:val="24"/>
        </w:rPr>
        <w:t xml:space="preserve"> is necessary for group cohesion and rural development</w:t>
      </w:r>
      <w:r w:rsidR="00B85F74" w:rsidRPr="002D5CAB">
        <w:rPr>
          <w:rFonts w:ascii="Times New Roman" w:hAnsi="Times New Roman" w:cs="Times New Roman"/>
          <w:sz w:val="24"/>
          <w:szCs w:val="24"/>
        </w:rPr>
        <w:t xml:space="preserve"> </w:t>
      </w:r>
      <w:r w:rsidR="00B85F74">
        <w:rPr>
          <w:rFonts w:ascii="Times New Roman" w:hAnsi="Times New Roman" w:cs="Times New Roman"/>
          <w:sz w:val="24"/>
          <w:szCs w:val="24"/>
        </w:rPr>
        <w:t xml:space="preserve">in Cross River State. </w:t>
      </w:r>
      <w:r w:rsidR="00B85F74" w:rsidRPr="00050114">
        <w:rPr>
          <w:rFonts w:ascii="Times New Roman" w:hAnsi="Times New Roman" w:cs="Times New Roman"/>
          <w:color w:val="000000"/>
          <w:sz w:val="24"/>
          <w:szCs w:val="24"/>
        </w:rPr>
        <w:t>This conclusion is realizable by tappin</w:t>
      </w:r>
      <w:r w:rsidR="00B85F74">
        <w:rPr>
          <w:rFonts w:ascii="Times New Roman" w:hAnsi="Times New Roman" w:cs="Times New Roman"/>
          <w:color w:val="000000"/>
          <w:sz w:val="24"/>
          <w:szCs w:val="24"/>
        </w:rPr>
        <w:t>g into the resources that dwell</w:t>
      </w:r>
      <w:r w:rsidR="00B85F74" w:rsidRPr="00050114">
        <w:rPr>
          <w:rFonts w:ascii="Times New Roman" w:hAnsi="Times New Roman" w:cs="Times New Roman"/>
          <w:color w:val="000000"/>
          <w:sz w:val="24"/>
          <w:szCs w:val="24"/>
        </w:rPr>
        <w:t xml:space="preserve"> largely on ICSs members to spur participation and commitment to </w:t>
      </w:r>
      <w:r w:rsidR="00B85F74">
        <w:rPr>
          <w:rFonts w:ascii="Times New Roman" w:hAnsi="Times New Roman" w:cs="Times New Roman"/>
          <w:color w:val="000000"/>
          <w:sz w:val="24"/>
          <w:szCs w:val="24"/>
        </w:rPr>
        <w:t xml:space="preserve">ICS utilization and patronage </w:t>
      </w:r>
      <w:r w:rsidR="00B85F74" w:rsidRPr="00050114">
        <w:rPr>
          <w:rFonts w:ascii="Times New Roman" w:hAnsi="Times New Roman" w:cs="Times New Roman"/>
          <w:color w:val="000000"/>
          <w:sz w:val="24"/>
          <w:szCs w:val="24"/>
        </w:rPr>
        <w:t xml:space="preserve">as well as identify people of integrity that can also contribute </w:t>
      </w:r>
      <w:r w:rsidR="00B85F74">
        <w:rPr>
          <w:rFonts w:ascii="Times New Roman" w:hAnsi="Times New Roman" w:cs="Times New Roman"/>
          <w:color w:val="000000"/>
          <w:sz w:val="24"/>
          <w:szCs w:val="24"/>
        </w:rPr>
        <w:t>in the organization and management of informal credit groups</w:t>
      </w:r>
      <w:r w:rsidR="00B85F74" w:rsidRPr="00050114">
        <w:rPr>
          <w:rFonts w:ascii="Times New Roman" w:hAnsi="Times New Roman" w:cs="Times New Roman"/>
          <w:color w:val="000000"/>
          <w:sz w:val="24"/>
          <w:szCs w:val="24"/>
        </w:rPr>
        <w:t>.</w:t>
      </w:r>
    </w:p>
    <w:p w:rsidR="00B85F74" w:rsidRDefault="00B85F74" w:rsidP="00B85F74">
      <w:pPr>
        <w:spacing w:after="0" w:line="240" w:lineRule="auto"/>
        <w:jc w:val="both"/>
        <w:rPr>
          <w:rFonts w:ascii="Times New Roman" w:hAnsi="Times New Roman" w:cs="Times New Roman"/>
          <w:b/>
          <w:sz w:val="24"/>
          <w:szCs w:val="24"/>
        </w:rPr>
      </w:pPr>
    </w:p>
    <w:p w:rsidR="00876720" w:rsidRPr="00912D6E" w:rsidRDefault="00876720" w:rsidP="00B85F74">
      <w:pPr>
        <w:spacing w:after="0" w:line="240" w:lineRule="auto"/>
        <w:jc w:val="both"/>
        <w:rPr>
          <w:rFonts w:ascii="Times New Roman" w:hAnsi="Times New Roman" w:cs="Times New Roman"/>
          <w:sz w:val="24"/>
          <w:szCs w:val="24"/>
        </w:rPr>
      </w:pPr>
      <w:r w:rsidRPr="00912D6E">
        <w:rPr>
          <w:rFonts w:ascii="Times New Roman" w:hAnsi="Times New Roman" w:cs="Times New Roman"/>
          <w:b/>
          <w:sz w:val="24"/>
          <w:szCs w:val="24"/>
        </w:rPr>
        <w:t xml:space="preserve">Keywords: </w:t>
      </w:r>
      <w:r w:rsidRPr="00912D6E">
        <w:rPr>
          <w:rFonts w:ascii="Times New Roman" w:hAnsi="Times New Roman" w:cs="Times New Roman"/>
          <w:sz w:val="24"/>
          <w:szCs w:val="24"/>
        </w:rPr>
        <w:t>Socio-economic, Characteristics, Informal credit system, patronage, economy.</w:t>
      </w:r>
    </w:p>
    <w:p w:rsidR="00912D6E" w:rsidRDefault="00912D6E" w:rsidP="00912D6E">
      <w:pPr>
        <w:jc w:val="both"/>
        <w:rPr>
          <w:rFonts w:ascii="Times New Roman" w:hAnsi="Times New Roman" w:cs="Times New Roman"/>
          <w:b/>
          <w:sz w:val="24"/>
          <w:szCs w:val="24"/>
        </w:rPr>
      </w:pPr>
    </w:p>
    <w:p w:rsidR="00DC7DD7" w:rsidRDefault="00A103CE" w:rsidP="00912D6E">
      <w:pPr>
        <w:jc w:val="both"/>
        <w:rPr>
          <w:rFonts w:ascii="Times New Roman" w:hAnsi="Times New Roman" w:cs="Times New Roman"/>
          <w:b/>
          <w:sz w:val="24"/>
          <w:szCs w:val="24"/>
        </w:rPr>
      </w:pPr>
      <w:r>
        <w:rPr>
          <w:rFonts w:ascii="Times New Roman" w:hAnsi="Times New Roman" w:cs="Times New Roman"/>
          <w:b/>
          <w:sz w:val="24"/>
          <w:szCs w:val="24"/>
        </w:rPr>
        <w:t>INTRODUCTION</w:t>
      </w:r>
    </w:p>
    <w:p w:rsidR="0060161F" w:rsidRPr="0060161F" w:rsidRDefault="0060161F" w:rsidP="0060161F">
      <w:pPr>
        <w:spacing w:after="100" w:afterAutospacing="1" w:line="480" w:lineRule="auto"/>
        <w:contextualSpacing/>
        <w:jc w:val="both"/>
        <w:rPr>
          <w:rFonts w:ascii="Times New Roman" w:hAnsi="Times New Roman" w:cs="Times New Roman"/>
          <w:sz w:val="24"/>
          <w:szCs w:val="24"/>
        </w:rPr>
      </w:pPr>
      <w:r w:rsidRPr="0060161F">
        <w:rPr>
          <w:rFonts w:ascii="Times New Roman" w:hAnsi="Times New Roman" w:cs="Times New Roman"/>
          <w:sz w:val="24"/>
          <w:szCs w:val="24"/>
        </w:rPr>
        <w:t xml:space="preserve">The notable problems that characterize rural areas as vastly observed by various researchers include the prevalence of poverty, deplorable state of the economy and abysmal failure of rural development </w:t>
      </w:r>
      <w:proofErr w:type="spellStart"/>
      <w:r w:rsidRPr="0060161F">
        <w:rPr>
          <w:rFonts w:ascii="Times New Roman" w:hAnsi="Times New Roman" w:cs="Times New Roman"/>
          <w:sz w:val="24"/>
          <w:szCs w:val="24"/>
        </w:rPr>
        <w:t>programmes</w:t>
      </w:r>
      <w:proofErr w:type="spellEnd"/>
      <w:r w:rsidRPr="0060161F">
        <w:rPr>
          <w:rFonts w:ascii="Times New Roman" w:hAnsi="Times New Roman" w:cs="Times New Roman"/>
          <w:sz w:val="24"/>
          <w:szCs w:val="24"/>
        </w:rPr>
        <w:t xml:space="preserve"> initiated over the years (</w:t>
      </w:r>
      <w:proofErr w:type="spellStart"/>
      <w:r w:rsidRPr="0060161F">
        <w:rPr>
          <w:rFonts w:ascii="Times New Roman" w:hAnsi="Times New Roman" w:cs="Times New Roman"/>
          <w:sz w:val="24"/>
          <w:szCs w:val="24"/>
        </w:rPr>
        <w:t>Dudwick</w:t>
      </w:r>
      <w:proofErr w:type="spellEnd"/>
      <w:r w:rsidRPr="0060161F">
        <w:rPr>
          <w:rFonts w:ascii="Times New Roman" w:hAnsi="Times New Roman" w:cs="Times New Roman"/>
          <w:sz w:val="24"/>
          <w:szCs w:val="24"/>
        </w:rPr>
        <w:t xml:space="preserve">, Hull, Katayama, </w:t>
      </w:r>
      <w:proofErr w:type="spellStart"/>
      <w:r w:rsidRPr="0060161F">
        <w:rPr>
          <w:rFonts w:ascii="Times New Roman" w:hAnsi="Times New Roman" w:cs="Times New Roman"/>
          <w:sz w:val="24"/>
          <w:szCs w:val="24"/>
        </w:rPr>
        <w:t>Shilpi</w:t>
      </w:r>
      <w:proofErr w:type="spellEnd"/>
      <w:r w:rsidRPr="0060161F">
        <w:rPr>
          <w:rFonts w:ascii="Times New Roman" w:hAnsi="Times New Roman" w:cs="Times New Roman"/>
          <w:sz w:val="24"/>
          <w:szCs w:val="24"/>
        </w:rPr>
        <w:t xml:space="preserve"> and </w:t>
      </w:r>
      <w:proofErr w:type="spellStart"/>
      <w:r w:rsidRPr="0060161F">
        <w:rPr>
          <w:rFonts w:ascii="Times New Roman" w:hAnsi="Times New Roman" w:cs="Times New Roman"/>
          <w:sz w:val="24"/>
          <w:szCs w:val="24"/>
        </w:rPr>
        <w:t>Simler</w:t>
      </w:r>
      <w:proofErr w:type="spellEnd"/>
      <w:r w:rsidRPr="0060161F">
        <w:rPr>
          <w:rFonts w:ascii="Times New Roman" w:hAnsi="Times New Roman" w:cs="Times New Roman"/>
          <w:sz w:val="24"/>
          <w:szCs w:val="24"/>
        </w:rPr>
        <w:t xml:space="preserve">, 2011; </w:t>
      </w:r>
      <w:proofErr w:type="spellStart"/>
      <w:r w:rsidRPr="0060161F">
        <w:rPr>
          <w:rFonts w:ascii="Times New Roman" w:hAnsi="Times New Roman" w:cs="Times New Roman"/>
          <w:sz w:val="24"/>
          <w:szCs w:val="24"/>
        </w:rPr>
        <w:t>Ekong</w:t>
      </w:r>
      <w:proofErr w:type="spellEnd"/>
      <w:r w:rsidRPr="0060161F">
        <w:rPr>
          <w:rFonts w:ascii="Times New Roman" w:hAnsi="Times New Roman" w:cs="Times New Roman"/>
          <w:sz w:val="24"/>
          <w:szCs w:val="24"/>
        </w:rPr>
        <w:t>, 2010; Nelson and Nelson, 2010). The persistence of poverty, which is chief among the problems, has attracted rigorous efforts by various governments to address the situation as it has a far-reaching consequence on the economy of rural areas. The nature of the rural poor is further manifested in limited employment and income generating opportunities due to the absence of credit facilities (</w:t>
      </w:r>
      <w:proofErr w:type="spellStart"/>
      <w:r w:rsidRPr="0060161F">
        <w:rPr>
          <w:rFonts w:ascii="Times New Roman" w:hAnsi="Times New Roman" w:cs="Times New Roman"/>
          <w:sz w:val="24"/>
          <w:szCs w:val="24"/>
        </w:rPr>
        <w:t>Ajadi</w:t>
      </w:r>
      <w:proofErr w:type="spellEnd"/>
      <w:r w:rsidRPr="0060161F">
        <w:rPr>
          <w:rFonts w:ascii="Times New Roman" w:hAnsi="Times New Roman" w:cs="Times New Roman"/>
          <w:sz w:val="24"/>
          <w:szCs w:val="24"/>
        </w:rPr>
        <w:t xml:space="preserve">, 2010). Rural dwellers are greatly hit by the inequality created by formal credit systems which </w:t>
      </w:r>
      <w:proofErr w:type="gramStart"/>
      <w:r w:rsidRPr="0060161F">
        <w:rPr>
          <w:rFonts w:ascii="Times New Roman" w:hAnsi="Times New Roman" w:cs="Times New Roman"/>
          <w:sz w:val="24"/>
          <w:szCs w:val="24"/>
        </w:rPr>
        <w:t>is</w:t>
      </w:r>
      <w:proofErr w:type="gramEnd"/>
      <w:r w:rsidRPr="0060161F">
        <w:rPr>
          <w:rFonts w:ascii="Times New Roman" w:hAnsi="Times New Roman" w:cs="Times New Roman"/>
          <w:sz w:val="24"/>
          <w:szCs w:val="24"/>
        </w:rPr>
        <w:t xml:space="preserve"> marked by high collateral and a rural economy that is highly </w:t>
      </w:r>
      <w:r w:rsidRPr="0060161F">
        <w:rPr>
          <w:rFonts w:ascii="Times New Roman" w:hAnsi="Times New Roman" w:cs="Times New Roman"/>
          <w:sz w:val="24"/>
          <w:szCs w:val="24"/>
        </w:rPr>
        <w:lastRenderedPageBreak/>
        <w:t>lacking in growth and opportunities which in turn has created more problems for the rural dwellers.</w:t>
      </w:r>
    </w:p>
    <w:p w:rsidR="0060161F" w:rsidRPr="0060161F" w:rsidRDefault="0060161F" w:rsidP="0060161F">
      <w:pPr>
        <w:spacing w:after="100" w:afterAutospacing="1" w:line="480" w:lineRule="auto"/>
        <w:contextualSpacing/>
        <w:jc w:val="both"/>
        <w:rPr>
          <w:rFonts w:ascii="Times New Roman" w:hAnsi="Times New Roman" w:cs="Times New Roman"/>
          <w:sz w:val="24"/>
          <w:szCs w:val="24"/>
        </w:rPr>
      </w:pPr>
      <w:r w:rsidRPr="0060161F">
        <w:rPr>
          <w:rFonts w:ascii="Times New Roman" w:hAnsi="Times New Roman" w:cs="Times New Roman"/>
          <w:sz w:val="24"/>
          <w:szCs w:val="24"/>
        </w:rPr>
        <w:t xml:space="preserve">The fragmented nature of Nigeria’s market is defined by its formal and informal nature and sources. The emergence of demand for short-term credit especially among small holding traders and farmers which the rural economy is characterized by, and the disparity of credits accessibility created by the formal credit systems which largely do not </w:t>
      </w:r>
      <w:proofErr w:type="spellStart"/>
      <w:r w:rsidRPr="0060161F">
        <w:rPr>
          <w:rFonts w:ascii="Times New Roman" w:hAnsi="Times New Roman" w:cs="Times New Roman"/>
          <w:sz w:val="24"/>
          <w:szCs w:val="24"/>
        </w:rPr>
        <w:t>favour</w:t>
      </w:r>
      <w:proofErr w:type="spellEnd"/>
      <w:r w:rsidRPr="0060161F">
        <w:rPr>
          <w:rFonts w:ascii="Times New Roman" w:hAnsi="Times New Roman" w:cs="Times New Roman"/>
          <w:sz w:val="24"/>
          <w:szCs w:val="24"/>
        </w:rPr>
        <w:t xml:space="preserve"> the rural dwellers, have most likely led to the development of informal credit acquisition to fill the gap, thus giving the rural economy an opportunity to function.</w:t>
      </w:r>
    </w:p>
    <w:p w:rsidR="0060161F" w:rsidRPr="0060161F" w:rsidRDefault="0060161F" w:rsidP="0060161F">
      <w:pPr>
        <w:spacing w:after="100" w:afterAutospacing="1" w:line="480" w:lineRule="auto"/>
        <w:contextualSpacing/>
        <w:jc w:val="both"/>
        <w:rPr>
          <w:rFonts w:ascii="Times New Roman" w:hAnsi="Times New Roman" w:cs="Times New Roman"/>
          <w:sz w:val="24"/>
          <w:szCs w:val="24"/>
        </w:rPr>
      </w:pPr>
      <w:r w:rsidRPr="0060161F">
        <w:rPr>
          <w:rFonts w:ascii="Times New Roman" w:hAnsi="Times New Roman" w:cs="Times New Roman"/>
          <w:sz w:val="24"/>
          <w:szCs w:val="24"/>
        </w:rPr>
        <w:t xml:space="preserve">The poverty state of rural dwellers and the epileptic nature of their economy have relegated them to an agricultural economy which is highly subsistent in nature. Given this scenario, the rural economy has been greatly starved of fund and credit acquisition. The formal financial institutions, according to </w:t>
      </w:r>
      <w:proofErr w:type="spellStart"/>
      <w:r w:rsidRPr="0060161F">
        <w:rPr>
          <w:rFonts w:ascii="Times New Roman" w:hAnsi="Times New Roman" w:cs="Times New Roman"/>
          <w:sz w:val="24"/>
          <w:szCs w:val="24"/>
        </w:rPr>
        <w:t>Atieno</w:t>
      </w:r>
      <w:proofErr w:type="spellEnd"/>
      <w:r w:rsidRPr="0060161F">
        <w:rPr>
          <w:rFonts w:ascii="Times New Roman" w:hAnsi="Times New Roman" w:cs="Times New Roman"/>
          <w:sz w:val="24"/>
          <w:szCs w:val="24"/>
        </w:rPr>
        <w:t xml:space="preserve"> (2001), have failed to cater for the credit needs of small holders (rural) economy by putting into consideration various factors including: inability of the latter to provide the collateral that the formal financial institution may require from them; lending terms and the conditions plus risk involved in recovering credit facilities. According to Robinson (2004), as far as 90 percent of persons living in developing countries are disadvantaged especially when it comes to access to financial services. Due to incomplete information about rural access and the viability of credit services, a very high proportion of the rural population has been deprived access to formal financial institutions.</w:t>
      </w:r>
    </w:p>
    <w:p w:rsidR="0060161F" w:rsidRPr="0060161F" w:rsidRDefault="0060161F" w:rsidP="0060161F">
      <w:pPr>
        <w:spacing w:after="100" w:afterAutospacing="1" w:line="480" w:lineRule="auto"/>
        <w:contextualSpacing/>
        <w:jc w:val="both"/>
        <w:rPr>
          <w:rFonts w:ascii="Times New Roman" w:hAnsi="Times New Roman" w:cs="Times New Roman"/>
          <w:sz w:val="24"/>
          <w:szCs w:val="24"/>
        </w:rPr>
      </w:pPr>
      <w:r w:rsidRPr="0060161F">
        <w:rPr>
          <w:rFonts w:ascii="Times New Roman" w:hAnsi="Times New Roman" w:cs="Times New Roman"/>
          <w:sz w:val="24"/>
          <w:szCs w:val="24"/>
        </w:rPr>
        <w:t>Informal credit institutions still constitute a significant part of the economy of Third World Countries (TWC). The rural economy cannot be undermined as its productivity improvement is also important in a development process (Haugen, 2005). However, in spite of the proliferation of formal credit institutions among rural dwellers (</w:t>
      </w:r>
      <w:proofErr w:type="spellStart"/>
      <w:r w:rsidRPr="0060161F">
        <w:rPr>
          <w:rFonts w:ascii="Times New Roman" w:hAnsi="Times New Roman" w:cs="Times New Roman"/>
          <w:sz w:val="24"/>
          <w:szCs w:val="24"/>
        </w:rPr>
        <w:t>Satyasai</w:t>
      </w:r>
      <w:proofErr w:type="spellEnd"/>
      <w:r w:rsidRPr="0060161F">
        <w:rPr>
          <w:rFonts w:ascii="Times New Roman" w:hAnsi="Times New Roman" w:cs="Times New Roman"/>
          <w:sz w:val="24"/>
          <w:szCs w:val="24"/>
        </w:rPr>
        <w:t xml:space="preserve">, 2012; Kumar, Singh and </w:t>
      </w:r>
      <w:proofErr w:type="spellStart"/>
      <w:r w:rsidRPr="0060161F">
        <w:rPr>
          <w:rFonts w:ascii="Times New Roman" w:hAnsi="Times New Roman" w:cs="Times New Roman"/>
          <w:sz w:val="24"/>
          <w:szCs w:val="24"/>
        </w:rPr>
        <w:t>Sinha</w:t>
      </w:r>
      <w:proofErr w:type="spellEnd"/>
      <w:r w:rsidRPr="0060161F">
        <w:rPr>
          <w:rFonts w:ascii="Times New Roman" w:hAnsi="Times New Roman" w:cs="Times New Roman"/>
          <w:sz w:val="24"/>
          <w:szCs w:val="24"/>
        </w:rPr>
        <w:t xml:space="preserve">, </w:t>
      </w:r>
      <w:r w:rsidRPr="0060161F">
        <w:rPr>
          <w:rFonts w:ascii="Times New Roman" w:hAnsi="Times New Roman" w:cs="Times New Roman"/>
          <w:sz w:val="24"/>
          <w:szCs w:val="24"/>
        </w:rPr>
        <w:lastRenderedPageBreak/>
        <w:t>2010), there remains a very high level of informal lenders patronage as a dominant source of credit for rural areas (</w:t>
      </w:r>
      <w:proofErr w:type="spellStart"/>
      <w:r w:rsidRPr="0060161F">
        <w:rPr>
          <w:rFonts w:ascii="Times New Roman" w:hAnsi="Times New Roman" w:cs="Times New Roman"/>
          <w:sz w:val="24"/>
          <w:szCs w:val="24"/>
        </w:rPr>
        <w:t>Kosgey</w:t>
      </w:r>
      <w:proofErr w:type="spellEnd"/>
      <w:r w:rsidRPr="0060161F">
        <w:rPr>
          <w:rFonts w:ascii="Times New Roman" w:hAnsi="Times New Roman" w:cs="Times New Roman"/>
          <w:sz w:val="24"/>
          <w:szCs w:val="24"/>
        </w:rPr>
        <w:t xml:space="preserve">, 2013; Li, Li, Huang and Zhu, 2013; Kumar, </w:t>
      </w:r>
      <w:proofErr w:type="spellStart"/>
      <w:r w:rsidRPr="0060161F">
        <w:rPr>
          <w:rFonts w:ascii="Times New Roman" w:hAnsi="Times New Roman" w:cs="Times New Roman"/>
          <w:sz w:val="24"/>
          <w:szCs w:val="24"/>
        </w:rPr>
        <w:t>Turvey</w:t>
      </w:r>
      <w:proofErr w:type="spellEnd"/>
      <w:r w:rsidRPr="0060161F">
        <w:rPr>
          <w:rFonts w:ascii="Times New Roman" w:hAnsi="Times New Roman" w:cs="Times New Roman"/>
          <w:sz w:val="24"/>
          <w:szCs w:val="24"/>
        </w:rPr>
        <w:t xml:space="preserve"> and </w:t>
      </w:r>
      <w:proofErr w:type="spellStart"/>
      <w:r w:rsidRPr="0060161F">
        <w:rPr>
          <w:rFonts w:ascii="Times New Roman" w:hAnsi="Times New Roman" w:cs="Times New Roman"/>
          <w:sz w:val="24"/>
          <w:szCs w:val="24"/>
        </w:rPr>
        <w:t>Kropp</w:t>
      </w:r>
      <w:proofErr w:type="spellEnd"/>
      <w:r w:rsidRPr="0060161F">
        <w:rPr>
          <w:rFonts w:ascii="Times New Roman" w:hAnsi="Times New Roman" w:cs="Times New Roman"/>
          <w:sz w:val="24"/>
          <w:szCs w:val="24"/>
        </w:rPr>
        <w:t>, 2012). Given the nature of rural dwellers’ economic activities which are characterized as agricultural (</w:t>
      </w:r>
      <w:proofErr w:type="spellStart"/>
      <w:r w:rsidRPr="0060161F">
        <w:rPr>
          <w:rFonts w:ascii="Times New Roman" w:hAnsi="Times New Roman" w:cs="Times New Roman"/>
          <w:sz w:val="24"/>
          <w:szCs w:val="24"/>
        </w:rPr>
        <w:t>Yadav</w:t>
      </w:r>
      <w:proofErr w:type="spellEnd"/>
      <w:r w:rsidRPr="0060161F">
        <w:rPr>
          <w:rFonts w:ascii="Times New Roman" w:hAnsi="Times New Roman" w:cs="Times New Roman"/>
          <w:sz w:val="24"/>
          <w:szCs w:val="24"/>
        </w:rPr>
        <w:t xml:space="preserve"> and Sharma, 2015; Kishore, 2012) and small enterprises (</w:t>
      </w:r>
      <w:proofErr w:type="spellStart"/>
      <w:r w:rsidRPr="0060161F">
        <w:rPr>
          <w:rFonts w:ascii="Times New Roman" w:hAnsi="Times New Roman" w:cs="Times New Roman"/>
          <w:sz w:val="24"/>
          <w:szCs w:val="24"/>
        </w:rPr>
        <w:t>Khandker</w:t>
      </w:r>
      <w:proofErr w:type="spellEnd"/>
      <w:r w:rsidRPr="0060161F">
        <w:rPr>
          <w:rFonts w:ascii="Times New Roman" w:hAnsi="Times New Roman" w:cs="Times New Roman"/>
          <w:sz w:val="24"/>
          <w:szCs w:val="24"/>
        </w:rPr>
        <w:t xml:space="preserve"> and </w:t>
      </w:r>
      <w:proofErr w:type="spellStart"/>
      <w:r w:rsidRPr="0060161F">
        <w:rPr>
          <w:rFonts w:ascii="Times New Roman" w:hAnsi="Times New Roman" w:cs="Times New Roman"/>
          <w:sz w:val="24"/>
          <w:szCs w:val="24"/>
        </w:rPr>
        <w:t>Koowal</w:t>
      </w:r>
      <w:proofErr w:type="spellEnd"/>
      <w:r w:rsidRPr="0060161F">
        <w:rPr>
          <w:rFonts w:ascii="Times New Roman" w:hAnsi="Times New Roman" w:cs="Times New Roman"/>
          <w:sz w:val="24"/>
          <w:szCs w:val="24"/>
        </w:rPr>
        <w:t xml:space="preserve">, 2015; </w:t>
      </w:r>
      <w:proofErr w:type="spellStart"/>
      <w:r w:rsidRPr="0060161F">
        <w:rPr>
          <w:rFonts w:ascii="Times New Roman" w:hAnsi="Times New Roman" w:cs="Times New Roman"/>
          <w:sz w:val="24"/>
          <w:szCs w:val="24"/>
        </w:rPr>
        <w:t>Laoubi</w:t>
      </w:r>
      <w:proofErr w:type="spellEnd"/>
      <w:r w:rsidRPr="0060161F">
        <w:rPr>
          <w:rFonts w:ascii="Times New Roman" w:hAnsi="Times New Roman" w:cs="Times New Roman"/>
          <w:sz w:val="24"/>
          <w:szCs w:val="24"/>
        </w:rPr>
        <w:t xml:space="preserve"> and </w:t>
      </w:r>
      <w:proofErr w:type="spellStart"/>
      <w:r w:rsidRPr="0060161F">
        <w:rPr>
          <w:rFonts w:ascii="Times New Roman" w:hAnsi="Times New Roman" w:cs="Times New Roman"/>
          <w:sz w:val="24"/>
          <w:szCs w:val="24"/>
        </w:rPr>
        <w:t>Yamao</w:t>
      </w:r>
      <w:proofErr w:type="spellEnd"/>
      <w:r w:rsidRPr="0060161F">
        <w:rPr>
          <w:rFonts w:ascii="Times New Roman" w:hAnsi="Times New Roman" w:cs="Times New Roman"/>
          <w:sz w:val="24"/>
          <w:szCs w:val="24"/>
        </w:rPr>
        <w:t>, 2012), their productive investment requires funding and access to credit is crucial for this purpose especially as it may serve as social security and insurance to them.</w:t>
      </w:r>
      <w:r w:rsidRPr="0060161F">
        <w:rPr>
          <w:rFonts w:ascii="Times New Roman" w:hAnsi="Times New Roman" w:cs="Times New Roman"/>
          <w:sz w:val="24"/>
          <w:szCs w:val="24"/>
        </w:rPr>
        <w:tab/>
      </w:r>
    </w:p>
    <w:p w:rsidR="0060161F" w:rsidRPr="0060161F" w:rsidRDefault="0060161F" w:rsidP="0060161F">
      <w:pPr>
        <w:spacing w:after="100" w:afterAutospacing="1" w:line="480" w:lineRule="auto"/>
        <w:contextualSpacing/>
        <w:jc w:val="both"/>
        <w:rPr>
          <w:rFonts w:ascii="Times New Roman" w:hAnsi="Times New Roman" w:cs="Times New Roman"/>
          <w:sz w:val="24"/>
          <w:szCs w:val="24"/>
        </w:rPr>
      </w:pPr>
      <w:r w:rsidRPr="0060161F">
        <w:rPr>
          <w:rFonts w:ascii="Times New Roman" w:hAnsi="Times New Roman" w:cs="Times New Roman"/>
          <w:sz w:val="24"/>
          <w:szCs w:val="24"/>
        </w:rPr>
        <w:t>The informal credit system (ICS) is as old as man and the existence of any financial system. In fact, it has the credit of existing alongside man even before civilization and the emergence of the formal credit sector which seems to have over-powered and dominated the informal credit system. The ICSs have gained some level of patronage despite the existence of high interest policies, bad management, fraudulent practices and exploitation for which the formal credit system has been</w:t>
      </w:r>
      <w:r w:rsidR="007753F0">
        <w:rPr>
          <w:rFonts w:ascii="Times New Roman" w:hAnsi="Times New Roman" w:cs="Times New Roman"/>
          <w:sz w:val="24"/>
          <w:szCs w:val="24"/>
        </w:rPr>
        <w:t xml:space="preserve"> blamed (</w:t>
      </w:r>
      <w:proofErr w:type="spellStart"/>
      <w:r w:rsidR="007753F0">
        <w:rPr>
          <w:rFonts w:ascii="Times New Roman" w:hAnsi="Times New Roman" w:cs="Times New Roman"/>
          <w:sz w:val="24"/>
          <w:szCs w:val="24"/>
        </w:rPr>
        <w:t>Daasi</w:t>
      </w:r>
      <w:proofErr w:type="spellEnd"/>
      <w:r w:rsidR="007753F0">
        <w:rPr>
          <w:rFonts w:ascii="Times New Roman" w:hAnsi="Times New Roman" w:cs="Times New Roman"/>
          <w:sz w:val="24"/>
          <w:szCs w:val="24"/>
        </w:rPr>
        <w:t xml:space="preserve">, 2014 and </w:t>
      </w:r>
      <w:proofErr w:type="spellStart"/>
      <w:r w:rsidR="007753F0">
        <w:rPr>
          <w:rFonts w:ascii="Times New Roman" w:hAnsi="Times New Roman" w:cs="Times New Roman"/>
          <w:sz w:val="24"/>
          <w:szCs w:val="24"/>
        </w:rPr>
        <w:t>Ehirim</w:t>
      </w:r>
      <w:proofErr w:type="spellEnd"/>
      <w:r w:rsidR="007753F0">
        <w:rPr>
          <w:rFonts w:ascii="Times New Roman" w:hAnsi="Times New Roman" w:cs="Times New Roman"/>
          <w:sz w:val="24"/>
          <w:szCs w:val="24"/>
        </w:rPr>
        <w:t xml:space="preserve"> &amp;</w:t>
      </w:r>
      <w:r w:rsidRPr="0060161F">
        <w:rPr>
          <w:rFonts w:ascii="Times New Roman" w:hAnsi="Times New Roman" w:cs="Times New Roman"/>
          <w:sz w:val="24"/>
          <w:szCs w:val="24"/>
        </w:rPr>
        <w:t xml:space="preserve"> </w:t>
      </w:r>
      <w:proofErr w:type="spellStart"/>
      <w:r w:rsidRPr="0060161F">
        <w:rPr>
          <w:rFonts w:ascii="Times New Roman" w:hAnsi="Times New Roman" w:cs="Times New Roman"/>
          <w:sz w:val="24"/>
          <w:szCs w:val="24"/>
        </w:rPr>
        <w:t>Oguoma</w:t>
      </w:r>
      <w:proofErr w:type="spellEnd"/>
      <w:r w:rsidRPr="0060161F">
        <w:rPr>
          <w:rFonts w:ascii="Times New Roman" w:hAnsi="Times New Roman" w:cs="Times New Roman"/>
          <w:sz w:val="24"/>
          <w:szCs w:val="24"/>
        </w:rPr>
        <w:t>, 2013). What motivates people to depend on ICSs and the factors that have sustained their use as a credit system besides easy access to funds and proximity remains a puzzle, as it were. A poor understanding of such motivations and sustaining factors may affect the future organization, growth, performance and management of informal credit systems. It is against this backdrop that this study examines the socio-economic importance of informal credit systems patronage among rural dwellers with implications for poverty alleviation and rural development in Cross River State.</w:t>
      </w:r>
    </w:p>
    <w:p w:rsidR="00DC7DD7" w:rsidRDefault="00DC7DD7" w:rsidP="00912D6E">
      <w:pPr>
        <w:jc w:val="both"/>
        <w:rPr>
          <w:rFonts w:ascii="Times New Roman" w:hAnsi="Times New Roman" w:cs="Times New Roman"/>
          <w:b/>
          <w:sz w:val="24"/>
          <w:szCs w:val="24"/>
        </w:rPr>
      </w:pPr>
    </w:p>
    <w:p w:rsidR="00F51771" w:rsidRDefault="00F51771" w:rsidP="00912D6E">
      <w:pPr>
        <w:jc w:val="both"/>
        <w:rPr>
          <w:rFonts w:ascii="Times New Roman" w:hAnsi="Times New Roman" w:cs="Times New Roman"/>
          <w:b/>
          <w:sz w:val="24"/>
          <w:szCs w:val="24"/>
        </w:rPr>
      </w:pPr>
      <w:r>
        <w:rPr>
          <w:rFonts w:ascii="Times New Roman" w:hAnsi="Times New Roman" w:cs="Times New Roman"/>
          <w:b/>
          <w:sz w:val="24"/>
          <w:szCs w:val="24"/>
        </w:rPr>
        <w:t>METHODS</w:t>
      </w:r>
    </w:p>
    <w:p w:rsidR="000E280C" w:rsidRPr="00D825B7" w:rsidRDefault="000E280C" w:rsidP="00D825B7">
      <w:pPr>
        <w:spacing w:line="480" w:lineRule="auto"/>
        <w:jc w:val="both"/>
        <w:rPr>
          <w:rFonts w:ascii="Times New Roman" w:hAnsi="Times New Roman" w:cs="Times New Roman"/>
          <w:sz w:val="24"/>
          <w:szCs w:val="24"/>
        </w:rPr>
      </w:pPr>
      <w:r w:rsidRPr="00D825B7">
        <w:rPr>
          <w:rFonts w:ascii="Times New Roman" w:hAnsi="Times New Roman" w:cs="Times New Roman"/>
          <w:b/>
          <w:sz w:val="24"/>
          <w:szCs w:val="24"/>
        </w:rPr>
        <w:t xml:space="preserve">Research design: </w:t>
      </w:r>
      <w:r w:rsidRPr="00D825B7">
        <w:rPr>
          <w:rFonts w:ascii="Times New Roman" w:hAnsi="Times New Roman" w:cs="Times New Roman"/>
          <w:sz w:val="24"/>
          <w:szCs w:val="24"/>
        </w:rPr>
        <w:t>This study adopted the survey design to meet its purposes. Surveys, according to various authors (</w:t>
      </w:r>
      <w:proofErr w:type="spellStart"/>
      <w:r w:rsidRPr="00D825B7">
        <w:rPr>
          <w:rFonts w:ascii="Times New Roman" w:hAnsi="Times New Roman" w:cs="Times New Roman"/>
          <w:sz w:val="24"/>
          <w:szCs w:val="24"/>
        </w:rPr>
        <w:t>Chawla</w:t>
      </w:r>
      <w:proofErr w:type="spellEnd"/>
      <w:r w:rsidRPr="00D825B7">
        <w:rPr>
          <w:rFonts w:ascii="Times New Roman" w:hAnsi="Times New Roman" w:cs="Times New Roman"/>
          <w:sz w:val="24"/>
          <w:szCs w:val="24"/>
        </w:rPr>
        <w:t xml:space="preserve"> and </w:t>
      </w:r>
      <w:proofErr w:type="spellStart"/>
      <w:r w:rsidRPr="00D825B7">
        <w:rPr>
          <w:rFonts w:ascii="Times New Roman" w:hAnsi="Times New Roman" w:cs="Times New Roman"/>
          <w:sz w:val="24"/>
          <w:szCs w:val="24"/>
        </w:rPr>
        <w:t>Sondhi</w:t>
      </w:r>
      <w:proofErr w:type="spellEnd"/>
      <w:r w:rsidRPr="00D825B7">
        <w:rPr>
          <w:rFonts w:ascii="Times New Roman" w:hAnsi="Times New Roman" w:cs="Times New Roman"/>
          <w:sz w:val="24"/>
          <w:szCs w:val="24"/>
        </w:rPr>
        <w:t xml:space="preserve">, 2014; </w:t>
      </w:r>
      <w:proofErr w:type="spellStart"/>
      <w:r w:rsidRPr="00D825B7">
        <w:rPr>
          <w:rFonts w:ascii="Times New Roman" w:hAnsi="Times New Roman" w:cs="Times New Roman"/>
          <w:sz w:val="24"/>
          <w:szCs w:val="24"/>
        </w:rPr>
        <w:t>Ary</w:t>
      </w:r>
      <w:proofErr w:type="spellEnd"/>
      <w:r w:rsidRPr="00D825B7">
        <w:rPr>
          <w:rFonts w:ascii="Times New Roman" w:hAnsi="Times New Roman" w:cs="Times New Roman"/>
          <w:sz w:val="24"/>
          <w:szCs w:val="24"/>
        </w:rPr>
        <w:t xml:space="preserve">, Jacobs, Sorensen and Walker, 2014), describe current conditions or attitudes as well as explain the reason for certain existing </w:t>
      </w:r>
      <w:r w:rsidRPr="00D825B7">
        <w:rPr>
          <w:rFonts w:ascii="Times New Roman" w:hAnsi="Times New Roman" w:cs="Times New Roman"/>
          <w:sz w:val="24"/>
          <w:szCs w:val="24"/>
        </w:rPr>
        <w:lastRenderedPageBreak/>
        <w:t>situations. The survey design is considered appropriate because it has the advantage of effectiveness in obtaining information about personal perceptions, belief, feelings, motivations, anticipation and future plans as well as past behavior. The survey was carried out through the administration of questionnaire and interview on members of informa</w:t>
      </w:r>
      <w:r w:rsidR="00EA2ADA" w:rsidRPr="00D825B7">
        <w:rPr>
          <w:rFonts w:ascii="Times New Roman" w:hAnsi="Times New Roman" w:cs="Times New Roman"/>
          <w:sz w:val="24"/>
          <w:szCs w:val="24"/>
        </w:rPr>
        <w:t>l credit systems in Cross River</w:t>
      </w:r>
      <w:r w:rsidRPr="00D825B7">
        <w:rPr>
          <w:rFonts w:ascii="Times New Roman" w:hAnsi="Times New Roman" w:cs="Times New Roman"/>
          <w:sz w:val="24"/>
          <w:szCs w:val="24"/>
        </w:rPr>
        <w:t xml:space="preserve">. </w:t>
      </w:r>
    </w:p>
    <w:p w:rsidR="00EA2ADA" w:rsidRPr="00D825B7" w:rsidRDefault="00EA2ADA" w:rsidP="00D825B7">
      <w:pPr>
        <w:spacing w:line="480" w:lineRule="auto"/>
        <w:jc w:val="both"/>
        <w:rPr>
          <w:rFonts w:ascii="Times New Roman" w:hAnsi="Times New Roman" w:cs="Times New Roman"/>
          <w:sz w:val="24"/>
          <w:szCs w:val="24"/>
        </w:rPr>
      </w:pPr>
      <w:r w:rsidRPr="00D825B7">
        <w:rPr>
          <w:rFonts w:ascii="Times New Roman" w:hAnsi="Times New Roman" w:cs="Times New Roman"/>
          <w:b/>
          <w:sz w:val="24"/>
          <w:szCs w:val="24"/>
        </w:rPr>
        <w:t xml:space="preserve">Population of the study: </w:t>
      </w:r>
      <w:r w:rsidRPr="00D825B7">
        <w:rPr>
          <w:rFonts w:ascii="Times New Roman" w:hAnsi="Times New Roman" w:cs="Times New Roman"/>
          <w:sz w:val="24"/>
          <w:szCs w:val="24"/>
        </w:rPr>
        <w:t>The study population constitutes patrons</w:t>
      </w:r>
      <w:r w:rsidR="00D825B7">
        <w:rPr>
          <w:rFonts w:ascii="Times New Roman" w:hAnsi="Times New Roman" w:cs="Times New Roman"/>
          <w:sz w:val="24"/>
          <w:szCs w:val="24"/>
        </w:rPr>
        <w:t xml:space="preserve"> of</w:t>
      </w:r>
      <w:r w:rsidRPr="00D825B7">
        <w:rPr>
          <w:rFonts w:ascii="Times New Roman" w:hAnsi="Times New Roman" w:cs="Times New Roman"/>
          <w:sz w:val="24"/>
          <w:szCs w:val="24"/>
        </w:rPr>
        <w:t xml:space="preserve"> informal credit systems operating on a group basis (ROSCA and FISCA) within the study area. Specifically, the study population includes men and women who are members of either rotatory or fixed saving credit associations. However, other categories of informal credit systems (MBs and IMLs) which operate on individual basis were not taken into due consideration and they do not constitute our unit of analysis.  </w:t>
      </w:r>
    </w:p>
    <w:p w:rsidR="00EA2ADA" w:rsidRPr="00D825B7" w:rsidRDefault="00EA2ADA" w:rsidP="00D825B7">
      <w:pPr>
        <w:spacing w:line="480" w:lineRule="auto"/>
        <w:jc w:val="both"/>
        <w:rPr>
          <w:rFonts w:ascii="Times New Roman" w:hAnsi="Times New Roman" w:cs="Times New Roman"/>
          <w:sz w:val="24"/>
          <w:szCs w:val="24"/>
        </w:rPr>
      </w:pPr>
      <w:r w:rsidRPr="00D825B7">
        <w:rPr>
          <w:rFonts w:ascii="Times New Roman" w:hAnsi="Times New Roman" w:cs="Times New Roman"/>
          <w:b/>
          <w:sz w:val="24"/>
          <w:szCs w:val="24"/>
        </w:rPr>
        <w:t xml:space="preserve">Sample and Sampling procedure: </w:t>
      </w:r>
      <w:r w:rsidR="00D825B7" w:rsidRPr="00D825B7">
        <w:rPr>
          <w:rFonts w:ascii="Times New Roman" w:hAnsi="Times New Roman" w:cs="Times New Roman"/>
          <w:sz w:val="24"/>
          <w:szCs w:val="24"/>
        </w:rPr>
        <w:t xml:space="preserve">The </w:t>
      </w:r>
      <w:r w:rsidRPr="00D825B7">
        <w:rPr>
          <w:rFonts w:ascii="Times New Roman" w:hAnsi="Times New Roman" w:cs="Times New Roman"/>
          <w:sz w:val="24"/>
          <w:szCs w:val="24"/>
        </w:rPr>
        <w:t xml:space="preserve">sample </w:t>
      </w:r>
      <w:r w:rsidR="00D825B7" w:rsidRPr="00D825B7">
        <w:rPr>
          <w:rFonts w:ascii="Times New Roman" w:hAnsi="Times New Roman" w:cs="Times New Roman"/>
          <w:sz w:val="24"/>
          <w:szCs w:val="24"/>
        </w:rPr>
        <w:t xml:space="preserve">size of </w:t>
      </w:r>
      <w:r w:rsidR="00D825B7">
        <w:rPr>
          <w:rFonts w:ascii="Times New Roman" w:hAnsi="Times New Roman" w:cs="Times New Roman"/>
          <w:sz w:val="24"/>
          <w:szCs w:val="24"/>
        </w:rPr>
        <w:t xml:space="preserve">576 respondents </w:t>
      </w:r>
      <w:r w:rsidR="00D825B7" w:rsidRPr="00D825B7">
        <w:rPr>
          <w:rFonts w:ascii="Times New Roman" w:hAnsi="Times New Roman" w:cs="Times New Roman"/>
          <w:sz w:val="24"/>
          <w:szCs w:val="24"/>
        </w:rPr>
        <w:t>w</w:t>
      </w:r>
      <w:r w:rsidR="00D825B7">
        <w:rPr>
          <w:rFonts w:ascii="Times New Roman" w:hAnsi="Times New Roman" w:cs="Times New Roman"/>
          <w:sz w:val="24"/>
          <w:szCs w:val="24"/>
        </w:rPr>
        <w:t>as</w:t>
      </w:r>
      <w:r w:rsidRPr="00D825B7">
        <w:rPr>
          <w:rFonts w:ascii="Times New Roman" w:hAnsi="Times New Roman" w:cs="Times New Roman"/>
          <w:sz w:val="24"/>
          <w:szCs w:val="24"/>
        </w:rPr>
        <w:t xml:space="preserve"> derived for this study using Bill’s (2004) sample size determination formula. However, </w:t>
      </w:r>
      <w:r w:rsidR="00D825B7">
        <w:rPr>
          <w:rFonts w:ascii="Times New Roman" w:hAnsi="Times New Roman" w:cs="Times New Roman"/>
          <w:sz w:val="24"/>
          <w:szCs w:val="24"/>
        </w:rPr>
        <w:t>567</w:t>
      </w:r>
      <w:r w:rsidRPr="00D825B7">
        <w:rPr>
          <w:rFonts w:ascii="Times New Roman" w:hAnsi="Times New Roman" w:cs="Times New Roman"/>
          <w:sz w:val="24"/>
          <w:szCs w:val="24"/>
        </w:rPr>
        <w:t xml:space="preserve"> respondents responded to the questionnaire.</w:t>
      </w:r>
      <w:r w:rsidR="00673AE1" w:rsidRPr="00D825B7">
        <w:rPr>
          <w:rFonts w:ascii="Times New Roman" w:hAnsi="Times New Roman" w:cs="Times New Roman"/>
          <w:sz w:val="24"/>
          <w:szCs w:val="24"/>
        </w:rPr>
        <w:t xml:space="preserve"> </w:t>
      </w:r>
      <w:r w:rsidRPr="00D825B7">
        <w:rPr>
          <w:rFonts w:ascii="Times New Roman" w:hAnsi="Times New Roman" w:cs="Times New Roman"/>
          <w:sz w:val="24"/>
          <w:szCs w:val="24"/>
        </w:rPr>
        <w:t>Multi-stage sampling technique was used to select patrons of informal credit groups. This involved cluster, simple random, snow-ball and accidental sampling techniques. Firstly, the clustering was based on senatorial zones that make up Cross River State. This was to ensure that each zone was adequately represented in the study. Simple random sampling technique was adopted at the second stage to select 50 percent of the total numbers of Local Government Areas</w:t>
      </w:r>
      <w:r w:rsidR="007E34E5">
        <w:rPr>
          <w:rFonts w:ascii="Times New Roman" w:hAnsi="Times New Roman" w:cs="Times New Roman"/>
          <w:sz w:val="24"/>
          <w:szCs w:val="24"/>
        </w:rPr>
        <w:t xml:space="preserve"> (LGAs)</w:t>
      </w:r>
      <w:r w:rsidRPr="00D825B7">
        <w:rPr>
          <w:rFonts w:ascii="Times New Roman" w:hAnsi="Times New Roman" w:cs="Times New Roman"/>
          <w:sz w:val="24"/>
          <w:szCs w:val="24"/>
        </w:rPr>
        <w:t xml:space="preserve"> </w:t>
      </w:r>
      <w:r w:rsidR="007E34E5">
        <w:rPr>
          <w:rFonts w:ascii="Times New Roman" w:hAnsi="Times New Roman" w:cs="Times New Roman"/>
          <w:sz w:val="24"/>
          <w:szCs w:val="24"/>
        </w:rPr>
        <w:t>so as</w:t>
      </w:r>
      <w:r w:rsidRPr="00D825B7">
        <w:rPr>
          <w:rFonts w:ascii="Times New Roman" w:hAnsi="Times New Roman" w:cs="Times New Roman"/>
          <w:sz w:val="24"/>
          <w:szCs w:val="24"/>
        </w:rPr>
        <w:t xml:space="preserve"> to ensure randomization and representativeness. This also enabled proportional representation of the </w:t>
      </w:r>
      <w:r w:rsidR="007E34E5">
        <w:rPr>
          <w:rFonts w:ascii="Times New Roman" w:hAnsi="Times New Roman" w:cs="Times New Roman"/>
          <w:sz w:val="24"/>
          <w:szCs w:val="24"/>
        </w:rPr>
        <w:t>LGAs</w:t>
      </w:r>
      <w:r w:rsidRPr="00D825B7">
        <w:rPr>
          <w:rFonts w:ascii="Times New Roman" w:hAnsi="Times New Roman" w:cs="Times New Roman"/>
          <w:sz w:val="24"/>
          <w:szCs w:val="24"/>
        </w:rPr>
        <w:t xml:space="preserve"> according to the senatorial zones. Meanwhile, 9 </w:t>
      </w:r>
      <w:r w:rsidR="007E34E5">
        <w:rPr>
          <w:rFonts w:ascii="Times New Roman" w:hAnsi="Times New Roman" w:cs="Times New Roman"/>
          <w:sz w:val="24"/>
          <w:szCs w:val="24"/>
        </w:rPr>
        <w:t>LGAs</w:t>
      </w:r>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Akpabuyo</w:t>
      </w:r>
      <w:proofErr w:type="spellEnd"/>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Odukpani</w:t>
      </w:r>
      <w:proofErr w:type="spellEnd"/>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Akamkpa</w:t>
      </w:r>
      <w:proofErr w:type="spellEnd"/>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Obubura</w:t>
      </w:r>
      <w:proofErr w:type="spellEnd"/>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Ikom</w:t>
      </w:r>
      <w:proofErr w:type="spellEnd"/>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Boki</w:t>
      </w:r>
      <w:proofErr w:type="spellEnd"/>
      <w:r w:rsidRPr="00D825B7">
        <w:rPr>
          <w:rFonts w:ascii="Times New Roman" w:hAnsi="Times New Roman" w:cs="Times New Roman"/>
          <w:sz w:val="24"/>
          <w:szCs w:val="24"/>
        </w:rPr>
        <w:t xml:space="preserve">, </w:t>
      </w:r>
      <w:proofErr w:type="spellStart"/>
      <w:r w:rsidRPr="00D825B7">
        <w:rPr>
          <w:rFonts w:ascii="Times New Roman" w:hAnsi="Times New Roman" w:cs="Times New Roman"/>
          <w:sz w:val="24"/>
          <w:szCs w:val="24"/>
        </w:rPr>
        <w:t>Ogoj</w:t>
      </w:r>
      <w:r w:rsidR="007E34E5">
        <w:rPr>
          <w:rFonts w:ascii="Times New Roman" w:hAnsi="Times New Roman" w:cs="Times New Roman"/>
          <w:sz w:val="24"/>
          <w:szCs w:val="24"/>
        </w:rPr>
        <w:t>a</w:t>
      </w:r>
      <w:proofErr w:type="spellEnd"/>
      <w:r w:rsidR="007E34E5">
        <w:rPr>
          <w:rFonts w:ascii="Times New Roman" w:hAnsi="Times New Roman" w:cs="Times New Roman"/>
          <w:sz w:val="24"/>
          <w:szCs w:val="24"/>
        </w:rPr>
        <w:t xml:space="preserve"> </w:t>
      </w:r>
      <w:proofErr w:type="spellStart"/>
      <w:r w:rsidR="007E34E5">
        <w:rPr>
          <w:rFonts w:ascii="Times New Roman" w:hAnsi="Times New Roman" w:cs="Times New Roman"/>
          <w:sz w:val="24"/>
          <w:szCs w:val="24"/>
        </w:rPr>
        <w:t>Obudu</w:t>
      </w:r>
      <w:proofErr w:type="spellEnd"/>
      <w:r w:rsidR="007E34E5">
        <w:rPr>
          <w:rFonts w:ascii="Times New Roman" w:hAnsi="Times New Roman" w:cs="Times New Roman"/>
          <w:sz w:val="24"/>
          <w:szCs w:val="24"/>
        </w:rPr>
        <w:t xml:space="preserve"> and </w:t>
      </w:r>
      <w:proofErr w:type="spellStart"/>
      <w:r w:rsidR="007E34E5">
        <w:rPr>
          <w:rFonts w:ascii="Times New Roman" w:hAnsi="Times New Roman" w:cs="Times New Roman"/>
          <w:sz w:val="24"/>
          <w:szCs w:val="24"/>
        </w:rPr>
        <w:t>Obanliku</w:t>
      </w:r>
      <w:proofErr w:type="spellEnd"/>
      <w:r w:rsidR="007E34E5">
        <w:rPr>
          <w:rFonts w:ascii="Times New Roman" w:hAnsi="Times New Roman" w:cs="Times New Roman"/>
          <w:sz w:val="24"/>
          <w:szCs w:val="24"/>
        </w:rPr>
        <w:t>) out of</w:t>
      </w:r>
      <w:r w:rsidRPr="00D825B7">
        <w:rPr>
          <w:rFonts w:ascii="Times New Roman" w:hAnsi="Times New Roman" w:cs="Times New Roman"/>
          <w:sz w:val="24"/>
          <w:szCs w:val="24"/>
        </w:rPr>
        <w:t xml:space="preserve"> 18 </w:t>
      </w:r>
      <w:r w:rsidR="007E34E5">
        <w:rPr>
          <w:rFonts w:ascii="Times New Roman" w:hAnsi="Times New Roman" w:cs="Times New Roman"/>
          <w:sz w:val="24"/>
          <w:szCs w:val="24"/>
        </w:rPr>
        <w:t xml:space="preserve">LGAs </w:t>
      </w:r>
      <w:r w:rsidRPr="00D825B7">
        <w:rPr>
          <w:rFonts w:ascii="Times New Roman" w:hAnsi="Times New Roman" w:cs="Times New Roman"/>
          <w:sz w:val="24"/>
          <w:szCs w:val="24"/>
        </w:rPr>
        <w:t xml:space="preserve">were selected </w:t>
      </w:r>
      <w:r w:rsidR="00673AE1" w:rsidRPr="00D825B7">
        <w:rPr>
          <w:rFonts w:ascii="Times New Roman" w:hAnsi="Times New Roman" w:cs="Times New Roman"/>
          <w:sz w:val="24"/>
          <w:szCs w:val="24"/>
        </w:rPr>
        <w:t>through balloting method</w:t>
      </w:r>
      <w:r w:rsidRPr="00D825B7">
        <w:rPr>
          <w:rFonts w:ascii="Times New Roman" w:hAnsi="Times New Roman" w:cs="Times New Roman"/>
          <w:sz w:val="24"/>
          <w:szCs w:val="24"/>
        </w:rPr>
        <w:t xml:space="preserve">. </w:t>
      </w:r>
    </w:p>
    <w:p w:rsidR="00EA2ADA" w:rsidRPr="00D825B7" w:rsidRDefault="007E34E5" w:rsidP="00D825B7">
      <w:pPr>
        <w:spacing w:line="480" w:lineRule="auto"/>
        <w:jc w:val="both"/>
        <w:rPr>
          <w:rFonts w:ascii="Times New Roman" w:hAnsi="Times New Roman" w:cs="Times New Roman"/>
          <w:sz w:val="24"/>
          <w:szCs w:val="24"/>
        </w:rPr>
      </w:pPr>
      <w:r w:rsidRPr="00D825B7">
        <w:rPr>
          <w:rFonts w:ascii="Times New Roman" w:hAnsi="Times New Roman" w:cs="Times New Roman"/>
          <w:sz w:val="24"/>
          <w:szCs w:val="24"/>
        </w:rPr>
        <w:lastRenderedPageBreak/>
        <w:t>Third</w:t>
      </w:r>
      <w:r>
        <w:rPr>
          <w:rFonts w:ascii="Times New Roman" w:hAnsi="Times New Roman" w:cs="Times New Roman"/>
          <w:sz w:val="24"/>
          <w:szCs w:val="24"/>
        </w:rPr>
        <w:t>ly</w:t>
      </w:r>
      <w:r w:rsidR="00EA2ADA" w:rsidRPr="00D825B7">
        <w:rPr>
          <w:rFonts w:ascii="Times New Roman" w:hAnsi="Times New Roman" w:cs="Times New Roman"/>
          <w:sz w:val="24"/>
          <w:szCs w:val="24"/>
        </w:rPr>
        <w:t xml:space="preserve">, purposive sampling technique was employed to select 3 rural communities from each </w:t>
      </w:r>
      <w:r>
        <w:rPr>
          <w:rFonts w:ascii="Times New Roman" w:hAnsi="Times New Roman" w:cs="Times New Roman"/>
          <w:sz w:val="24"/>
          <w:szCs w:val="24"/>
        </w:rPr>
        <w:t>LGA</w:t>
      </w:r>
      <w:r w:rsidR="00EA2ADA" w:rsidRPr="00D825B7">
        <w:rPr>
          <w:rFonts w:ascii="Times New Roman" w:hAnsi="Times New Roman" w:cs="Times New Roman"/>
          <w:sz w:val="24"/>
          <w:szCs w:val="24"/>
        </w:rPr>
        <w:t>. This gave rise to 27 communities. Thereafter, the snow-ball sampling method was employed to select 3 informal credit groups from each of the rural communities selected</w:t>
      </w:r>
      <w:r>
        <w:rPr>
          <w:rFonts w:ascii="Times New Roman" w:hAnsi="Times New Roman" w:cs="Times New Roman"/>
          <w:sz w:val="24"/>
          <w:szCs w:val="24"/>
        </w:rPr>
        <w:t>.</w:t>
      </w:r>
      <w:r w:rsidR="00EA2ADA" w:rsidRPr="00D825B7">
        <w:rPr>
          <w:rFonts w:ascii="Times New Roman" w:hAnsi="Times New Roman" w:cs="Times New Roman"/>
          <w:sz w:val="24"/>
          <w:szCs w:val="24"/>
        </w:rPr>
        <w:t xml:space="preserve"> This amounted to 81 informal credit groups. Finally, the intercept sampling method was employed to select the actual respondents</w:t>
      </w:r>
      <w:r>
        <w:rPr>
          <w:rFonts w:ascii="Times New Roman" w:hAnsi="Times New Roman" w:cs="Times New Roman"/>
          <w:sz w:val="24"/>
          <w:szCs w:val="24"/>
        </w:rPr>
        <w:t xml:space="preserve"> which stood at 5</w:t>
      </w:r>
      <w:r w:rsidR="00EA2ADA" w:rsidRPr="00D825B7">
        <w:rPr>
          <w:rFonts w:ascii="Times New Roman" w:hAnsi="Times New Roman" w:cs="Times New Roman"/>
          <w:sz w:val="24"/>
          <w:szCs w:val="24"/>
        </w:rPr>
        <w:t>7</w:t>
      </w:r>
      <w:r>
        <w:rPr>
          <w:rFonts w:ascii="Times New Roman" w:hAnsi="Times New Roman" w:cs="Times New Roman"/>
          <w:sz w:val="24"/>
          <w:szCs w:val="24"/>
        </w:rPr>
        <w:t>6 respondents</w:t>
      </w:r>
      <w:r w:rsidR="00EA2ADA" w:rsidRPr="00D825B7">
        <w:rPr>
          <w:rFonts w:ascii="Times New Roman" w:hAnsi="Times New Roman" w:cs="Times New Roman"/>
          <w:sz w:val="24"/>
          <w:szCs w:val="24"/>
        </w:rPr>
        <w:t xml:space="preserve">.     </w:t>
      </w:r>
    </w:p>
    <w:p w:rsidR="00673AE1" w:rsidRPr="00D825B7" w:rsidRDefault="00673AE1" w:rsidP="00D825B7">
      <w:pPr>
        <w:spacing w:line="480" w:lineRule="auto"/>
        <w:jc w:val="both"/>
        <w:rPr>
          <w:rFonts w:ascii="Times New Roman" w:hAnsi="Times New Roman" w:cs="Times New Roman"/>
          <w:b/>
          <w:sz w:val="24"/>
          <w:szCs w:val="24"/>
        </w:rPr>
      </w:pPr>
      <w:r w:rsidRPr="00D825B7">
        <w:rPr>
          <w:rFonts w:ascii="Times New Roman" w:hAnsi="Times New Roman" w:cs="Times New Roman"/>
          <w:b/>
          <w:sz w:val="24"/>
          <w:szCs w:val="24"/>
        </w:rPr>
        <w:t>Research Instrument:</w:t>
      </w:r>
      <w:r w:rsidRPr="00D825B7">
        <w:rPr>
          <w:rFonts w:ascii="Times New Roman" w:hAnsi="Times New Roman" w:cs="Times New Roman"/>
          <w:sz w:val="24"/>
          <w:szCs w:val="24"/>
        </w:rPr>
        <w:t xml:space="preserve"> Questionnaire was the major instruments of data collection. The purpose of the survey was to investigate the socio-economic variables of patrons of informal credit systems in Cross River State. A triangulated questionnaire comprising 5 sections was used to obtain information from respondents. Each of the sections was designed to address a particular objective that the study sought to realize.</w:t>
      </w:r>
      <w:r w:rsidRPr="00D825B7">
        <w:rPr>
          <w:rFonts w:ascii="Times New Roman" w:hAnsi="Times New Roman" w:cs="Times New Roman"/>
          <w:b/>
          <w:sz w:val="24"/>
          <w:szCs w:val="24"/>
        </w:rPr>
        <w:t xml:space="preserve"> </w:t>
      </w:r>
      <w:r w:rsidRPr="00D825B7">
        <w:rPr>
          <w:rFonts w:ascii="Times New Roman" w:hAnsi="Times New Roman" w:cs="Times New Roman"/>
          <w:sz w:val="24"/>
          <w:szCs w:val="24"/>
        </w:rPr>
        <w:t>Hence, five hundred and sixty seven (567) copies of questionnaire were administered to respondents.</w:t>
      </w:r>
    </w:p>
    <w:p w:rsidR="00673AE1" w:rsidRPr="00D825B7" w:rsidRDefault="00673AE1" w:rsidP="00D825B7">
      <w:pPr>
        <w:spacing w:line="480" w:lineRule="auto"/>
        <w:jc w:val="both"/>
        <w:rPr>
          <w:rFonts w:ascii="Times New Roman" w:hAnsi="Times New Roman" w:cs="Times New Roman"/>
          <w:sz w:val="24"/>
          <w:szCs w:val="24"/>
        </w:rPr>
      </w:pPr>
      <w:r w:rsidRPr="00D825B7">
        <w:rPr>
          <w:rFonts w:ascii="Times New Roman" w:hAnsi="Times New Roman" w:cs="Times New Roman"/>
          <w:b/>
          <w:sz w:val="24"/>
          <w:szCs w:val="24"/>
        </w:rPr>
        <w:t xml:space="preserve">Method of </w:t>
      </w:r>
      <w:r w:rsidR="00A103CE" w:rsidRPr="00D825B7">
        <w:rPr>
          <w:rFonts w:ascii="Times New Roman" w:hAnsi="Times New Roman" w:cs="Times New Roman"/>
          <w:b/>
          <w:sz w:val="24"/>
          <w:szCs w:val="24"/>
        </w:rPr>
        <w:t>Data Analysis</w:t>
      </w:r>
      <w:r w:rsidRPr="00D825B7">
        <w:rPr>
          <w:rFonts w:ascii="Times New Roman" w:hAnsi="Times New Roman" w:cs="Times New Roman"/>
          <w:b/>
          <w:sz w:val="24"/>
          <w:szCs w:val="24"/>
        </w:rPr>
        <w:t xml:space="preserve">: </w:t>
      </w:r>
      <w:r w:rsidRPr="00D825B7">
        <w:rPr>
          <w:rFonts w:ascii="Times New Roman" w:hAnsi="Times New Roman" w:cs="Times New Roman"/>
          <w:sz w:val="24"/>
          <w:szCs w:val="24"/>
        </w:rPr>
        <w:t xml:space="preserve">In examining the socio-economic factors </w:t>
      </w:r>
      <w:r w:rsidR="00D825B7" w:rsidRPr="00D825B7">
        <w:rPr>
          <w:rFonts w:ascii="Times New Roman" w:hAnsi="Times New Roman" w:cs="Times New Roman"/>
          <w:sz w:val="24"/>
          <w:szCs w:val="24"/>
        </w:rPr>
        <w:t xml:space="preserve">that enhances the patronage of </w:t>
      </w:r>
      <w:r w:rsidRPr="00D825B7">
        <w:rPr>
          <w:rFonts w:ascii="Times New Roman" w:hAnsi="Times New Roman" w:cs="Times New Roman"/>
          <w:sz w:val="24"/>
          <w:szCs w:val="24"/>
        </w:rPr>
        <w:t>informal credit systems in Cross River State</w:t>
      </w:r>
      <w:r w:rsidR="00D825B7" w:rsidRPr="00D825B7">
        <w:rPr>
          <w:rFonts w:ascii="Times New Roman" w:hAnsi="Times New Roman" w:cs="Times New Roman"/>
          <w:sz w:val="24"/>
          <w:szCs w:val="24"/>
        </w:rPr>
        <w:t>,</w:t>
      </w:r>
      <w:r w:rsidRPr="00D825B7">
        <w:rPr>
          <w:rFonts w:ascii="Times New Roman" w:hAnsi="Times New Roman" w:cs="Times New Roman"/>
          <w:sz w:val="24"/>
          <w:szCs w:val="24"/>
        </w:rPr>
        <w:t xml:space="preserve"> the independent t-test and Analysis of Variance (ANOVA) with Least Significant Difference (LSD) multiple comparison test were considered suitable. It was assumed that there are many socio-economic characteristics ( such as:</w:t>
      </w:r>
      <w:r w:rsidR="00D825B7" w:rsidRPr="00D825B7">
        <w:rPr>
          <w:rFonts w:ascii="Times New Roman" w:hAnsi="Times New Roman" w:cs="Times New Roman"/>
          <w:sz w:val="24"/>
          <w:szCs w:val="24"/>
        </w:rPr>
        <w:t xml:space="preserve"> gender</w:t>
      </w:r>
      <w:r w:rsidRPr="00D825B7">
        <w:rPr>
          <w:rFonts w:ascii="Times New Roman" w:hAnsi="Times New Roman" w:cs="Times New Roman"/>
          <w:sz w:val="24"/>
          <w:szCs w:val="24"/>
        </w:rPr>
        <w:t>, household size, level of education, level of monthly income and present occupation) that could affect the usage of informal credit systems, hence, the multiple comparison test (using LSD) became necessary in order to establish the statistical relationship between the two variables.</w:t>
      </w:r>
    </w:p>
    <w:p w:rsidR="007E34E5" w:rsidRDefault="007E34E5" w:rsidP="00912D6E">
      <w:pPr>
        <w:jc w:val="both"/>
        <w:rPr>
          <w:rFonts w:ascii="Times New Roman" w:hAnsi="Times New Roman" w:cs="Times New Roman"/>
          <w:b/>
          <w:sz w:val="24"/>
          <w:szCs w:val="24"/>
        </w:rPr>
      </w:pPr>
    </w:p>
    <w:p w:rsidR="00F51771" w:rsidRDefault="00F51771" w:rsidP="00912D6E">
      <w:pPr>
        <w:jc w:val="both"/>
        <w:rPr>
          <w:rFonts w:ascii="Times New Roman" w:hAnsi="Times New Roman" w:cs="Times New Roman"/>
          <w:b/>
          <w:sz w:val="24"/>
          <w:szCs w:val="24"/>
        </w:rPr>
      </w:pPr>
      <w:r>
        <w:rPr>
          <w:rFonts w:ascii="Times New Roman" w:hAnsi="Times New Roman" w:cs="Times New Roman"/>
          <w:b/>
          <w:sz w:val="24"/>
          <w:szCs w:val="24"/>
        </w:rPr>
        <w:t>RESULTS AND DISCUSSION</w:t>
      </w:r>
    </w:p>
    <w:p w:rsidR="00912D6E" w:rsidRPr="00912D6E" w:rsidRDefault="00912D6E" w:rsidP="00912D6E">
      <w:pPr>
        <w:jc w:val="both"/>
        <w:rPr>
          <w:rFonts w:ascii="Times New Roman" w:hAnsi="Times New Roman" w:cs="Times New Roman"/>
          <w:b/>
          <w:sz w:val="24"/>
          <w:szCs w:val="24"/>
        </w:rPr>
      </w:pPr>
      <w:r w:rsidRPr="00912D6E">
        <w:rPr>
          <w:rFonts w:ascii="Times New Roman" w:hAnsi="Times New Roman" w:cs="Times New Roman"/>
          <w:b/>
          <w:sz w:val="24"/>
          <w:szCs w:val="24"/>
        </w:rPr>
        <w:t xml:space="preserve">The influence of patrons’ gender on ICSs usage </w:t>
      </w:r>
    </w:p>
    <w:p w:rsidR="00912D6E" w:rsidRPr="00912D6E" w:rsidRDefault="00F51771" w:rsidP="00912D6E">
      <w:pPr>
        <w:spacing w:line="480" w:lineRule="auto"/>
        <w:jc w:val="both"/>
        <w:rPr>
          <w:rFonts w:ascii="Times New Roman" w:hAnsi="Times New Roman" w:cs="Times New Roman"/>
          <w:sz w:val="24"/>
          <w:szCs w:val="24"/>
        </w:rPr>
      </w:pPr>
      <w:r>
        <w:rPr>
          <w:rFonts w:ascii="Times New Roman" w:hAnsi="Times New Roman" w:cs="Times New Roman"/>
          <w:sz w:val="24"/>
          <w:szCs w:val="24"/>
        </w:rPr>
        <w:t>Data in Table 1</w:t>
      </w:r>
      <w:r w:rsidR="00912D6E" w:rsidRPr="00912D6E">
        <w:rPr>
          <w:rFonts w:ascii="Times New Roman" w:hAnsi="Times New Roman" w:cs="Times New Roman"/>
          <w:sz w:val="24"/>
          <w:szCs w:val="24"/>
        </w:rPr>
        <w:t xml:space="preserve"> show that at .05 level of significance and 565 degree of freedom, the critical t-value obtained was 1.97. The calculated t-values obtained in establishing the influence of gender </w:t>
      </w:r>
      <w:r w:rsidR="00912D6E" w:rsidRPr="00912D6E">
        <w:rPr>
          <w:rFonts w:ascii="Times New Roman" w:hAnsi="Times New Roman" w:cs="Times New Roman"/>
          <w:sz w:val="24"/>
          <w:szCs w:val="24"/>
        </w:rPr>
        <w:lastRenderedPageBreak/>
        <w:t>on usage of four types of informal credit system were as follows: usage of rotatory savings, t = -4.12 (p&lt;.05); usage of fixed savings, t = 0.87 (p&gt;.05); usage of mobile bankers, t = -1.64 (p&gt;.05); usage of individual money lenders, t = 0.23 (p&gt;.05). The calculated t-value is greater than the critical t-value in usage of rotatory savings, while the calculated t-values for usage of fixed savings, mobile bankers and individual money lenders were less than the critical t-value</w:t>
      </w:r>
    </w:p>
    <w:p w:rsidR="00912D6E" w:rsidRPr="00912D6E" w:rsidRDefault="00F51771" w:rsidP="00912D6E">
      <w:pPr>
        <w:ind w:left="1080" w:hanging="1080"/>
        <w:rPr>
          <w:rFonts w:ascii="Times New Roman" w:hAnsi="Times New Roman" w:cs="Times New Roman"/>
          <w:b/>
          <w:sz w:val="24"/>
          <w:szCs w:val="24"/>
        </w:rPr>
      </w:pPr>
      <w:r>
        <w:rPr>
          <w:rFonts w:ascii="Times New Roman" w:hAnsi="Times New Roman" w:cs="Times New Roman"/>
          <w:b/>
          <w:sz w:val="24"/>
          <w:szCs w:val="24"/>
        </w:rPr>
        <w:t>Table 1</w:t>
      </w:r>
      <w:r w:rsidR="00912D6E" w:rsidRPr="00912D6E">
        <w:rPr>
          <w:rFonts w:ascii="Times New Roman" w:hAnsi="Times New Roman" w:cs="Times New Roman"/>
          <w:b/>
          <w:sz w:val="24"/>
          <w:szCs w:val="24"/>
        </w:rPr>
        <w:t>: Independent t-test analysis of influence of gender on ICS usage in the study area</w:t>
      </w:r>
    </w:p>
    <w:tbl>
      <w:tblPr>
        <w:tblW w:w="10890" w:type="dxa"/>
        <w:tblLook w:val="04A0" w:firstRow="1" w:lastRow="0" w:firstColumn="1" w:lastColumn="0" w:noHBand="0" w:noVBand="1"/>
      </w:tblPr>
      <w:tblGrid>
        <w:gridCol w:w="2718"/>
        <w:gridCol w:w="1170"/>
        <w:gridCol w:w="603"/>
        <w:gridCol w:w="921"/>
        <w:gridCol w:w="726"/>
        <w:gridCol w:w="243"/>
        <w:gridCol w:w="387"/>
        <w:gridCol w:w="534"/>
        <w:gridCol w:w="366"/>
        <w:gridCol w:w="720"/>
        <w:gridCol w:w="572"/>
        <w:gridCol w:w="983"/>
        <w:gridCol w:w="947"/>
      </w:tblGrid>
      <w:tr w:rsidR="00912D6E" w:rsidRPr="00912D6E" w:rsidTr="00912D6E">
        <w:trPr>
          <w:gridAfter w:val="3"/>
          <w:wAfter w:w="2502" w:type="dxa"/>
          <w:trHeight w:val="315"/>
        </w:trPr>
        <w:tc>
          <w:tcPr>
            <w:tcW w:w="2718" w:type="dxa"/>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Informal credit system</w:t>
            </w:r>
          </w:p>
        </w:tc>
        <w:tc>
          <w:tcPr>
            <w:tcW w:w="1170" w:type="dxa"/>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Gender</w:t>
            </w:r>
          </w:p>
        </w:tc>
        <w:tc>
          <w:tcPr>
            <w:tcW w:w="603" w:type="dxa"/>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N</w:t>
            </w:r>
          </w:p>
        </w:tc>
        <w:tc>
          <w:tcPr>
            <w:tcW w:w="921" w:type="dxa"/>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Mean</w:t>
            </w:r>
          </w:p>
        </w:tc>
        <w:tc>
          <w:tcPr>
            <w:tcW w:w="1356" w:type="dxa"/>
            <w:gridSpan w:val="3"/>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Std. Deviation</w:t>
            </w:r>
          </w:p>
        </w:tc>
        <w:tc>
          <w:tcPr>
            <w:tcW w:w="900" w:type="dxa"/>
            <w:gridSpan w:val="2"/>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t</w:t>
            </w:r>
          </w:p>
        </w:tc>
        <w:tc>
          <w:tcPr>
            <w:tcW w:w="720" w:type="dxa"/>
            <w:tcBorders>
              <w:top w:val="single" w:sz="4" w:space="0" w:color="auto"/>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b/>
                <w:color w:val="000000"/>
                <w:sz w:val="24"/>
                <w:szCs w:val="24"/>
              </w:rPr>
            </w:pPr>
            <w:r w:rsidRPr="00912D6E">
              <w:rPr>
                <w:rFonts w:ascii="Times New Roman" w:hAnsi="Times New Roman" w:cs="Times New Roman"/>
                <w:b/>
                <w:color w:val="000000"/>
                <w:sz w:val="24"/>
                <w:szCs w:val="24"/>
              </w:rPr>
              <w:t>Sig.</w:t>
            </w: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Rotatory saving</w:t>
            </w: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384</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1.32</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0.86</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-4.12*</w:t>
            </w: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.000</w:t>
            </w: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Female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183</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1.69</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1.25</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sz w:val="24"/>
                <w:szCs w:val="24"/>
              </w:rPr>
            </w:pP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Fixed saving</w:t>
            </w: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384</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2.27</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0.99</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0.87</w:t>
            </w: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.387</w:t>
            </w: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Female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183</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2.19</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1.18</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sz w:val="24"/>
                <w:szCs w:val="24"/>
              </w:rPr>
            </w:pP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Mobile bankers</w:t>
            </w: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384</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2.86</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0.96</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-1.64</w:t>
            </w: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.103</w:t>
            </w: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Female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183</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3.01</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1.07</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sz w:val="24"/>
                <w:szCs w:val="24"/>
              </w:rPr>
            </w:pP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Individual money lenders</w:t>
            </w: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384</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2.76</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1.25</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0.23</w:t>
            </w: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.819</w:t>
            </w:r>
          </w:p>
        </w:tc>
      </w:tr>
      <w:tr w:rsidR="00912D6E" w:rsidRPr="00912D6E" w:rsidTr="00912D6E">
        <w:trPr>
          <w:gridAfter w:val="3"/>
          <w:wAfter w:w="2502" w:type="dxa"/>
          <w:trHeight w:val="315"/>
        </w:trPr>
        <w:tc>
          <w:tcPr>
            <w:tcW w:w="2718"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1170" w:type="dxa"/>
            <w:tcBorders>
              <w:top w:val="nil"/>
              <w:left w:val="nil"/>
              <w:bottom w:val="nil"/>
              <w:right w:val="nil"/>
            </w:tcBorders>
            <w:shd w:val="clear" w:color="auto" w:fill="auto"/>
            <w:noWrap/>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Female</w:t>
            </w:r>
          </w:p>
        </w:tc>
        <w:tc>
          <w:tcPr>
            <w:tcW w:w="603"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183</w:t>
            </w:r>
          </w:p>
        </w:tc>
        <w:tc>
          <w:tcPr>
            <w:tcW w:w="921"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2.73</w:t>
            </w:r>
          </w:p>
        </w:tc>
        <w:tc>
          <w:tcPr>
            <w:tcW w:w="1356" w:type="dxa"/>
            <w:gridSpan w:val="3"/>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1.24</w:t>
            </w:r>
          </w:p>
        </w:tc>
        <w:tc>
          <w:tcPr>
            <w:tcW w:w="900" w:type="dxa"/>
            <w:gridSpan w:val="2"/>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color w:val="000000"/>
                <w:sz w:val="24"/>
                <w:szCs w:val="24"/>
              </w:rPr>
            </w:pPr>
          </w:p>
        </w:tc>
        <w:tc>
          <w:tcPr>
            <w:tcW w:w="720" w:type="dxa"/>
            <w:tcBorders>
              <w:top w:val="nil"/>
              <w:left w:val="nil"/>
              <w:bottom w:val="nil"/>
              <w:right w:val="nil"/>
            </w:tcBorders>
            <w:shd w:val="clear" w:color="auto" w:fill="auto"/>
            <w:noWrap/>
            <w:hideMark/>
          </w:tcPr>
          <w:p w:rsidR="00912D6E" w:rsidRPr="00912D6E" w:rsidRDefault="00912D6E" w:rsidP="00912D6E">
            <w:pPr>
              <w:spacing w:after="0" w:line="240" w:lineRule="auto"/>
              <w:jc w:val="center"/>
              <w:rPr>
                <w:rFonts w:ascii="Times New Roman" w:hAnsi="Times New Roman" w:cs="Times New Roman"/>
                <w:sz w:val="24"/>
                <w:szCs w:val="24"/>
              </w:rPr>
            </w:pPr>
          </w:p>
        </w:tc>
      </w:tr>
      <w:tr w:rsidR="00912D6E" w:rsidRPr="00912D6E" w:rsidTr="00912D6E">
        <w:trPr>
          <w:gridAfter w:val="3"/>
          <w:wAfter w:w="2502" w:type="dxa"/>
          <w:trHeight w:val="80"/>
        </w:trPr>
        <w:tc>
          <w:tcPr>
            <w:tcW w:w="2718" w:type="dxa"/>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color w:val="000000"/>
                <w:sz w:val="24"/>
                <w:szCs w:val="24"/>
              </w:rPr>
            </w:pPr>
          </w:p>
        </w:tc>
        <w:tc>
          <w:tcPr>
            <w:tcW w:w="1170" w:type="dxa"/>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 </w:t>
            </w:r>
          </w:p>
        </w:tc>
        <w:tc>
          <w:tcPr>
            <w:tcW w:w="603" w:type="dxa"/>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 </w:t>
            </w:r>
          </w:p>
        </w:tc>
        <w:tc>
          <w:tcPr>
            <w:tcW w:w="921" w:type="dxa"/>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 </w:t>
            </w:r>
          </w:p>
        </w:tc>
        <w:tc>
          <w:tcPr>
            <w:tcW w:w="1356" w:type="dxa"/>
            <w:gridSpan w:val="3"/>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 </w:t>
            </w:r>
          </w:p>
        </w:tc>
        <w:tc>
          <w:tcPr>
            <w:tcW w:w="900" w:type="dxa"/>
            <w:gridSpan w:val="2"/>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jc w:val="center"/>
              <w:rPr>
                <w:rFonts w:ascii="Times New Roman" w:hAnsi="Times New Roman" w:cs="Times New Roman"/>
                <w:color w:val="000000"/>
                <w:sz w:val="24"/>
                <w:szCs w:val="24"/>
              </w:rPr>
            </w:pPr>
            <w:r w:rsidRPr="00912D6E">
              <w:rPr>
                <w:rFonts w:ascii="Times New Roman" w:hAnsi="Times New Roman" w:cs="Times New Roman"/>
                <w:color w:val="000000"/>
                <w:sz w:val="24"/>
                <w:szCs w:val="24"/>
              </w:rPr>
              <w:t> </w:t>
            </w:r>
          </w:p>
        </w:tc>
        <w:tc>
          <w:tcPr>
            <w:tcW w:w="720" w:type="dxa"/>
            <w:tcBorders>
              <w:top w:val="nil"/>
              <w:left w:val="nil"/>
              <w:bottom w:val="single" w:sz="4" w:space="0" w:color="auto"/>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color w:val="000000"/>
                <w:sz w:val="24"/>
                <w:szCs w:val="24"/>
              </w:rPr>
            </w:pPr>
          </w:p>
        </w:tc>
      </w:tr>
      <w:tr w:rsidR="00912D6E" w:rsidRPr="00912D6E" w:rsidTr="00912D6E">
        <w:trPr>
          <w:trHeight w:val="315"/>
        </w:trPr>
        <w:tc>
          <w:tcPr>
            <w:tcW w:w="6138" w:type="dxa"/>
            <w:gridSpan w:val="5"/>
            <w:tcBorders>
              <w:top w:val="nil"/>
              <w:left w:val="nil"/>
              <w:bottom w:val="nil"/>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color w:val="000000"/>
                <w:sz w:val="24"/>
                <w:szCs w:val="24"/>
              </w:rPr>
            </w:pPr>
            <w:r w:rsidRPr="00912D6E">
              <w:rPr>
                <w:rFonts w:ascii="Times New Roman" w:hAnsi="Times New Roman" w:cs="Times New Roman"/>
                <w:color w:val="000000"/>
                <w:sz w:val="24"/>
                <w:szCs w:val="24"/>
              </w:rPr>
              <w:t xml:space="preserve">Source: Field data (2017) *p&lt;.05; </w:t>
            </w:r>
            <w:proofErr w:type="spellStart"/>
            <w:r w:rsidRPr="00912D6E">
              <w:rPr>
                <w:rFonts w:ascii="Times New Roman" w:hAnsi="Times New Roman" w:cs="Times New Roman"/>
                <w:color w:val="000000"/>
                <w:sz w:val="24"/>
                <w:szCs w:val="24"/>
              </w:rPr>
              <w:t>df</w:t>
            </w:r>
            <w:proofErr w:type="spellEnd"/>
            <w:r w:rsidRPr="00912D6E">
              <w:rPr>
                <w:rFonts w:ascii="Times New Roman" w:hAnsi="Times New Roman" w:cs="Times New Roman"/>
                <w:color w:val="000000"/>
                <w:sz w:val="24"/>
                <w:szCs w:val="24"/>
              </w:rPr>
              <w:t xml:space="preserve"> = 565; critical t = 1.97</w:t>
            </w:r>
          </w:p>
        </w:tc>
        <w:tc>
          <w:tcPr>
            <w:tcW w:w="243" w:type="dxa"/>
            <w:tcBorders>
              <w:top w:val="nil"/>
              <w:left w:val="nil"/>
              <w:bottom w:val="nil"/>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color w:val="000000"/>
                <w:sz w:val="24"/>
                <w:szCs w:val="24"/>
              </w:rPr>
            </w:pPr>
          </w:p>
        </w:tc>
        <w:tc>
          <w:tcPr>
            <w:tcW w:w="921" w:type="dxa"/>
            <w:gridSpan w:val="2"/>
            <w:tcBorders>
              <w:top w:val="nil"/>
              <w:left w:val="nil"/>
              <w:bottom w:val="nil"/>
              <w:right w:val="nil"/>
            </w:tcBorders>
            <w:shd w:val="clear" w:color="auto" w:fill="auto"/>
            <w:noWrap/>
            <w:vAlign w:val="bottom"/>
          </w:tcPr>
          <w:p w:rsidR="00912D6E" w:rsidRPr="00912D6E" w:rsidRDefault="00912D6E" w:rsidP="00912D6E">
            <w:pPr>
              <w:spacing w:after="0" w:line="240" w:lineRule="auto"/>
              <w:rPr>
                <w:rFonts w:ascii="Times New Roman" w:hAnsi="Times New Roman" w:cs="Times New Roman"/>
                <w:sz w:val="24"/>
                <w:szCs w:val="24"/>
              </w:rPr>
            </w:pPr>
          </w:p>
        </w:tc>
        <w:tc>
          <w:tcPr>
            <w:tcW w:w="1658" w:type="dxa"/>
            <w:gridSpan w:val="3"/>
            <w:tcBorders>
              <w:top w:val="nil"/>
              <w:left w:val="nil"/>
              <w:bottom w:val="nil"/>
              <w:right w:val="nil"/>
            </w:tcBorders>
            <w:shd w:val="clear" w:color="auto" w:fill="auto"/>
            <w:noWrap/>
            <w:vAlign w:val="bottom"/>
          </w:tcPr>
          <w:p w:rsidR="00912D6E" w:rsidRPr="00912D6E" w:rsidRDefault="00912D6E" w:rsidP="00912D6E">
            <w:pPr>
              <w:spacing w:after="0" w:line="240" w:lineRule="auto"/>
              <w:rPr>
                <w:rFonts w:ascii="Times New Roman" w:hAnsi="Times New Roman" w:cs="Times New Roman"/>
                <w:sz w:val="24"/>
                <w:szCs w:val="24"/>
              </w:rPr>
            </w:pPr>
          </w:p>
        </w:tc>
        <w:tc>
          <w:tcPr>
            <w:tcW w:w="983" w:type="dxa"/>
            <w:tcBorders>
              <w:top w:val="nil"/>
              <w:left w:val="nil"/>
              <w:bottom w:val="nil"/>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sz w:val="24"/>
                <w:szCs w:val="24"/>
              </w:rPr>
            </w:pPr>
          </w:p>
        </w:tc>
        <w:tc>
          <w:tcPr>
            <w:tcW w:w="947" w:type="dxa"/>
            <w:tcBorders>
              <w:top w:val="nil"/>
              <w:left w:val="nil"/>
              <w:bottom w:val="nil"/>
              <w:right w:val="nil"/>
            </w:tcBorders>
            <w:shd w:val="clear" w:color="auto" w:fill="auto"/>
            <w:noWrap/>
            <w:vAlign w:val="bottom"/>
            <w:hideMark/>
          </w:tcPr>
          <w:p w:rsidR="00912D6E" w:rsidRPr="00912D6E" w:rsidRDefault="00912D6E" w:rsidP="00912D6E">
            <w:pPr>
              <w:spacing w:after="0" w:line="240" w:lineRule="auto"/>
              <w:rPr>
                <w:rFonts w:ascii="Times New Roman" w:hAnsi="Times New Roman" w:cs="Times New Roman"/>
                <w:sz w:val="24"/>
                <w:szCs w:val="24"/>
              </w:rPr>
            </w:pPr>
          </w:p>
        </w:tc>
      </w:tr>
    </w:tbl>
    <w:p w:rsidR="00912D6E" w:rsidRPr="00912D6E" w:rsidRDefault="00912D6E" w:rsidP="00912D6E">
      <w:pPr>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With the foregoing results, it can be established that gender does not significantly influence ICS usage with regards to rotatory savings. It was however retained regarding fixed savings, mobile bankers and individual money lenders. This indicates that there is no significant influence of gender on the usage of fixed savings, mobile bankers and individual money lenders as forms of ICS in the study area.  The negative significant t-value obtained in establishing the influence of gender on the usage of rotatory savings showed that the difference in usage is in </w:t>
      </w:r>
      <w:proofErr w:type="spellStart"/>
      <w:r w:rsidRPr="00912D6E">
        <w:rPr>
          <w:rFonts w:ascii="Times New Roman" w:hAnsi="Times New Roman" w:cs="Times New Roman"/>
          <w:sz w:val="24"/>
          <w:szCs w:val="24"/>
        </w:rPr>
        <w:t>favour</w:t>
      </w:r>
      <w:proofErr w:type="spellEnd"/>
      <w:r w:rsidRPr="00912D6E">
        <w:rPr>
          <w:rFonts w:ascii="Times New Roman" w:hAnsi="Times New Roman" w:cs="Times New Roman"/>
          <w:sz w:val="24"/>
          <w:szCs w:val="24"/>
        </w:rPr>
        <w:t xml:space="preserve"> of the second comparison group which is female. A mean value of 1.69 was obtained for the female which is significantly higher than the mean value of 1.32 obtained for the male respondents, showing that rotatory savings are used more by the females. This indicates that females </w:t>
      </w:r>
      <w:r w:rsidRPr="00912D6E">
        <w:rPr>
          <w:rFonts w:ascii="Times New Roman" w:hAnsi="Times New Roman" w:cs="Times New Roman"/>
          <w:sz w:val="24"/>
          <w:szCs w:val="24"/>
        </w:rPr>
        <w:lastRenderedPageBreak/>
        <w:t>significantly differ from males in their usage of rotatory savings as a form of informal credit group.</w:t>
      </w:r>
    </w:p>
    <w:p w:rsidR="00912D6E" w:rsidRPr="00912D6E" w:rsidRDefault="00912D6E" w:rsidP="00912D6E">
      <w:pPr>
        <w:ind w:left="810" w:hanging="810"/>
        <w:jc w:val="both"/>
        <w:rPr>
          <w:rFonts w:ascii="Times New Roman" w:hAnsi="Times New Roman" w:cs="Times New Roman"/>
          <w:b/>
          <w:sz w:val="24"/>
          <w:szCs w:val="24"/>
        </w:rPr>
      </w:pPr>
      <w:r w:rsidRPr="00912D6E">
        <w:rPr>
          <w:rFonts w:ascii="Times New Roman" w:hAnsi="Times New Roman" w:cs="Times New Roman"/>
          <w:b/>
          <w:sz w:val="24"/>
          <w:szCs w:val="24"/>
        </w:rPr>
        <w:t>The influence of patrons’ household size on ICSs usage</w:t>
      </w:r>
    </w:p>
    <w:p w:rsidR="00912D6E" w:rsidRPr="00912D6E" w:rsidRDefault="00F51771" w:rsidP="00912D6E">
      <w:pPr>
        <w:spacing w:line="480" w:lineRule="auto"/>
        <w:jc w:val="both"/>
        <w:rPr>
          <w:rFonts w:ascii="Times New Roman" w:hAnsi="Times New Roman" w:cs="Times New Roman"/>
          <w:sz w:val="24"/>
          <w:szCs w:val="24"/>
        </w:rPr>
      </w:pPr>
      <w:r>
        <w:rPr>
          <w:rFonts w:ascii="Times New Roman" w:hAnsi="Times New Roman" w:cs="Times New Roman"/>
          <w:sz w:val="24"/>
          <w:szCs w:val="24"/>
        </w:rPr>
        <w:t>Table 2</w:t>
      </w:r>
      <w:r w:rsidR="00912D6E" w:rsidRPr="00912D6E">
        <w:rPr>
          <w:rFonts w:ascii="Times New Roman" w:hAnsi="Times New Roman" w:cs="Times New Roman"/>
          <w:sz w:val="24"/>
          <w:szCs w:val="24"/>
        </w:rPr>
        <w:t xml:space="preserve"> indicates that at .05 level of significance and degree of freedom 565, the critical t-value obtained was 1.97. The calculated t-values obtained in establishing the influence of household size on usage of four types of informal credit systems are as follows; usage of rotatory savings, t = 3.14 (p&gt;.05); usage of fixed savings, t = -2.86 (p&gt;.05); usage of mobile bankers, t = -.65 (p&lt;.05); and usage of individual money lenders, t = -1.03 (p&lt;.05). The calculated t-value was greater than the critical t-value in usage of rotatory savings and fixed savings, while the calculated t-values for usage of mobile bankers and individual money lenders were less than the critical t-value. With these results, it can be established that household size significantly influences ICS usage regarding rotatory savings and fixed savings. On the other hand, household size does not influence patrons’ usage of mobile bankers and individual money lenders as form of informal credit system.</w:t>
      </w:r>
    </w:p>
    <w:p w:rsidR="00912D6E" w:rsidRPr="00912D6E" w:rsidRDefault="00F51771" w:rsidP="00912D6E">
      <w:pPr>
        <w:ind w:left="1350" w:hanging="1350"/>
        <w:jc w:val="both"/>
        <w:rPr>
          <w:rFonts w:ascii="Times New Roman" w:hAnsi="Times New Roman" w:cs="Times New Roman"/>
          <w:b/>
          <w:sz w:val="24"/>
          <w:szCs w:val="24"/>
        </w:rPr>
      </w:pPr>
      <w:r>
        <w:rPr>
          <w:rFonts w:ascii="Times New Roman" w:hAnsi="Times New Roman" w:cs="Times New Roman"/>
          <w:b/>
          <w:sz w:val="24"/>
          <w:szCs w:val="24"/>
        </w:rPr>
        <w:t>Table 2</w:t>
      </w:r>
      <w:r w:rsidR="00912D6E" w:rsidRPr="00912D6E">
        <w:rPr>
          <w:rFonts w:ascii="Times New Roman" w:hAnsi="Times New Roman" w:cs="Times New Roman"/>
          <w:b/>
          <w:sz w:val="24"/>
          <w:szCs w:val="24"/>
        </w:rPr>
        <w:t>: An independent t-test analysis of influence of household size on ICS usage</w:t>
      </w:r>
    </w:p>
    <w:tbl>
      <w:tblPr>
        <w:tblW w:w="8478" w:type="dxa"/>
        <w:tblLook w:val="04A0" w:firstRow="1" w:lastRow="0" w:firstColumn="1" w:lastColumn="0" w:noHBand="0" w:noVBand="1"/>
      </w:tblPr>
      <w:tblGrid>
        <w:gridCol w:w="1818"/>
        <w:gridCol w:w="1620"/>
        <w:gridCol w:w="900"/>
        <w:gridCol w:w="900"/>
        <w:gridCol w:w="1620"/>
        <w:gridCol w:w="900"/>
        <w:gridCol w:w="720"/>
      </w:tblGrid>
      <w:tr w:rsidR="00912D6E" w:rsidRPr="00D1663C" w:rsidTr="00912D6E">
        <w:trPr>
          <w:trHeight w:val="315"/>
        </w:trPr>
        <w:tc>
          <w:tcPr>
            <w:tcW w:w="1818"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Informal credit system</w:t>
            </w:r>
          </w:p>
        </w:tc>
        <w:tc>
          <w:tcPr>
            <w:tcW w:w="162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Household size</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N</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Mean</w:t>
            </w:r>
          </w:p>
        </w:tc>
        <w:tc>
          <w:tcPr>
            <w:tcW w:w="162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Std. Deviation</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T</w:t>
            </w:r>
          </w:p>
        </w:tc>
        <w:tc>
          <w:tcPr>
            <w:tcW w:w="72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Sig</w:t>
            </w:r>
          </w:p>
        </w:tc>
      </w:tr>
      <w:tr w:rsidR="00912D6E" w:rsidRPr="00D1663C" w:rsidTr="00912D6E">
        <w:trPr>
          <w:trHeight w:val="315"/>
        </w:trPr>
        <w:tc>
          <w:tcPr>
            <w:tcW w:w="1818"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color w:val="000000"/>
              </w:rPr>
            </w:pPr>
          </w:p>
        </w:tc>
        <w:tc>
          <w:tcPr>
            <w:tcW w:w="1620"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c>
          <w:tcPr>
            <w:tcW w:w="1620"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c>
          <w:tcPr>
            <w:tcW w:w="720"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Rotatory saving</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Less than 10</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462</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1.42</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1.01</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3.14*</w:t>
            </w: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.518</w:t>
            </w: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 and above</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1.50</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Fixed saving</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Less than 10</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462</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2.23</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1.08</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2.86*</w:t>
            </w: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.303</w:t>
            </w: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 and above</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2.34</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0.92</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Mobile bankers</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Less than 10</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462</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2.97</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0.98</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-.65</w:t>
            </w: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.002</w:t>
            </w: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 and above</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2.64</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1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Individual money lenders</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Less than 10</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462</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2.82</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1.24</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-1.03</w:t>
            </w:r>
          </w:p>
        </w:tc>
        <w:tc>
          <w:tcPr>
            <w:tcW w:w="72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.004</w:t>
            </w:r>
          </w:p>
        </w:tc>
      </w:tr>
      <w:tr w:rsidR="00912D6E" w:rsidRPr="00D1663C" w:rsidTr="00912D6E">
        <w:trPr>
          <w:trHeight w:val="315"/>
        </w:trPr>
        <w:tc>
          <w:tcPr>
            <w:tcW w:w="1818"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62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 and above</w:t>
            </w:r>
          </w:p>
        </w:tc>
        <w:tc>
          <w:tcPr>
            <w:tcW w:w="90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0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2.44</w:t>
            </w:r>
          </w:p>
        </w:tc>
        <w:tc>
          <w:tcPr>
            <w:tcW w:w="162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1.21</w:t>
            </w:r>
          </w:p>
        </w:tc>
        <w:tc>
          <w:tcPr>
            <w:tcW w:w="90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72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bl>
    <w:p w:rsidR="00912D6E" w:rsidRPr="00912D6E" w:rsidRDefault="00912D6E" w:rsidP="00912D6E">
      <w:pPr>
        <w:rPr>
          <w:rFonts w:ascii="Times New Roman" w:hAnsi="Times New Roman" w:cs="Times New Roman"/>
          <w:sz w:val="24"/>
          <w:szCs w:val="24"/>
        </w:rPr>
      </w:pPr>
      <w:r w:rsidRPr="00912D6E">
        <w:rPr>
          <w:rFonts w:ascii="Times New Roman" w:hAnsi="Times New Roman" w:cs="Times New Roman"/>
          <w:color w:val="000000"/>
          <w:sz w:val="24"/>
          <w:szCs w:val="24"/>
        </w:rPr>
        <w:lastRenderedPageBreak/>
        <w:t xml:space="preserve">Source: Field data (2017)   *p&lt;.05; </w:t>
      </w:r>
      <w:proofErr w:type="spellStart"/>
      <w:proofErr w:type="gramStart"/>
      <w:r w:rsidRPr="00912D6E">
        <w:rPr>
          <w:rFonts w:ascii="Times New Roman" w:hAnsi="Times New Roman" w:cs="Times New Roman"/>
          <w:color w:val="000000"/>
          <w:sz w:val="24"/>
          <w:szCs w:val="24"/>
        </w:rPr>
        <w:t>df</w:t>
      </w:r>
      <w:proofErr w:type="spellEnd"/>
      <w:proofErr w:type="gramEnd"/>
      <w:r w:rsidRPr="00912D6E">
        <w:rPr>
          <w:rFonts w:ascii="Times New Roman" w:hAnsi="Times New Roman" w:cs="Times New Roman"/>
          <w:color w:val="000000"/>
          <w:sz w:val="24"/>
          <w:szCs w:val="24"/>
        </w:rPr>
        <w:t xml:space="preserve"> = 565; critical t = 1.97</w:t>
      </w:r>
    </w:p>
    <w:p w:rsidR="00912D6E" w:rsidRPr="00912D6E" w:rsidRDefault="00912D6E" w:rsidP="00912D6E">
      <w:pPr>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The positive significant t-value obtained on the influence of household size on the usage of mobile bankers and individual money lenders showed that the difference in usage was in </w:t>
      </w:r>
      <w:proofErr w:type="spellStart"/>
      <w:r w:rsidRPr="00912D6E">
        <w:rPr>
          <w:rFonts w:ascii="Times New Roman" w:hAnsi="Times New Roman" w:cs="Times New Roman"/>
          <w:sz w:val="24"/>
          <w:szCs w:val="24"/>
        </w:rPr>
        <w:t>favour</w:t>
      </w:r>
      <w:proofErr w:type="spellEnd"/>
      <w:r w:rsidRPr="00912D6E">
        <w:rPr>
          <w:rFonts w:ascii="Times New Roman" w:hAnsi="Times New Roman" w:cs="Times New Roman"/>
          <w:sz w:val="24"/>
          <w:szCs w:val="24"/>
        </w:rPr>
        <w:t xml:space="preserve"> of the first comparison group which is household size that is less than 10. The mean values obtained are significantly higher than mean values obtained by the household size of 10 and above. This indicated that smaller household sizes differed significantly from large household sizes in their usage of mobile bankers and individual money lenders as forms of ICS in the study area.</w:t>
      </w:r>
    </w:p>
    <w:p w:rsidR="00912D6E" w:rsidRPr="00912D6E" w:rsidRDefault="00912D6E" w:rsidP="00912D6E">
      <w:pPr>
        <w:ind w:left="810" w:hanging="810"/>
        <w:jc w:val="both"/>
        <w:rPr>
          <w:rFonts w:ascii="Times New Roman" w:hAnsi="Times New Roman" w:cs="Times New Roman"/>
          <w:b/>
          <w:sz w:val="24"/>
          <w:szCs w:val="24"/>
        </w:rPr>
      </w:pPr>
      <w:r w:rsidRPr="00912D6E">
        <w:rPr>
          <w:rFonts w:ascii="Times New Roman" w:hAnsi="Times New Roman" w:cs="Times New Roman"/>
          <w:b/>
          <w:sz w:val="24"/>
          <w:szCs w:val="24"/>
        </w:rPr>
        <w:t>The influence of patrons’ level of education on ICSs usage</w:t>
      </w:r>
    </w:p>
    <w:p w:rsidR="00912D6E" w:rsidRPr="00912D6E" w:rsidRDefault="00F51771" w:rsidP="00384943">
      <w:pPr>
        <w:spacing w:line="480" w:lineRule="auto"/>
        <w:jc w:val="both"/>
        <w:rPr>
          <w:rFonts w:ascii="Times New Roman" w:hAnsi="Times New Roman" w:cs="Times New Roman"/>
          <w:sz w:val="24"/>
          <w:szCs w:val="24"/>
        </w:rPr>
      </w:pPr>
      <w:r>
        <w:rPr>
          <w:rFonts w:ascii="Times New Roman" w:hAnsi="Times New Roman" w:cs="Times New Roman"/>
          <w:sz w:val="24"/>
          <w:szCs w:val="24"/>
        </w:rPr>
        <w:t>Data in Table 3</w:t>
      </w:r>
      <w:r w:rsidR="00384943">
        <w:rPr>
          <w:rFonts w:ascii="Times New Roman" w:hAnsi="Times New Roman" w:cs="Times New Roman"/>
          <w:sz w:val="24"/>
          <w:szCs w:val="24"/>
        </w:rPr>
        <w:t xml:space="preserve"> presents the s</w:t>
      </w:r>
      <w:r w:rsidR="00912D6E" w:rsidRPr="00912D6E">
        <w:rPr>
          <w:rFonts w:ascii="Times New Roman" w:hAnsi="Times New Roman" w:cs="Times New Roman"/>
          <w:sz w:val="24"/>
          <w:szCs w:val="24"/>
        </w:rPr>
        <w:t>ummaries of the results</w:t>
      </w:r>
      <w:r w:rsidR="008B782E">
        <w:rPr>
          <w:rFonts w:ascii="Times New Roman" w:hAnsi="Times New Roman" w:cs="Times New Roman"/>
          <w:sz w:val="24"/>
          <w:szCs w:val="24"/>
        </w:rPr>
        <w:t xml:space="preserve"> </w:t>
      </w:r>
      <w:r w:rsidR="008B782E" w:rsidRPr="00912D6E">
        <w:rPr>
          <w:rFonts w:ascii="Times New Roman" w:hAnsi="Times New Roman" w:cs="Times New Roman"/>
          <w:sz w:val="24"/>
          <w:szCs w:val="24"/>
        </w:rPr>
        <w:t>of one-way analysis of variance</w:t>
      </w:r>
      <w:r w:rsidR="00384943">
        <w:rPr>
          <w:rFonts w:ascii="Times New Roman" w:hAnsi="Times New Roman" w:cs="Times New Roman"/>
          <w:sz w:val="24"/>
          <w:szCs w:val="24"/>
        </w:rPr>
        <w:t xml:space="preserve"> (ANOVA) which establishes the influence of patrons’ level of education on their ICSs usage or patronage</w:t>
      </w:r>
      <w:r w:rsidR="00912D6E" w:rsidRPr="00912D6E">
        <w:rPr>
          <w:rFonts w:ascii="Times New Roman" w:hAnsi="Times New Roman" w:cs="Times New Roman"/>
          <w:sz w:val="24"/>
          <w:szCs w:val="24"/>
        </w:rPr>
        <w:t>.</w:t>
      </w:r>
      <w:r w:rsidR="00384943">
        <w:rPr>
          <w:rFonts w:ascii="Times New Roman" w:hAnsi="Times New Roman" w:cs="Times New Roman"/>
          <w:sz w:val="24"/>
          <w:szCs w:val="24"/>
        </w:rPr>
        <w:t xml:space="preserve"> </w:t>
      </w:r>
      <w:r>
        <w:rPr>
          <w:rFonts w:ascii="Times New Roman" w:hAnsi="Times New Roman" w:cs="Times New Roman"/>
          <w:sz w:val="24"/>
          <w:szCs w:val="24"/>
        </w:rPr>
        <w:t>Table 3</w:t>
      </w:r>
      <w:r w:rsidR="00912D6E" w:rsidRPr="00912D6E">
        <w:rPr>
          <w:rFonts w:ascii="Times New Roman" w:hAnsi="Times New Roman" w:cs="Times New Roman"/>
          <w:sz w:val="24"/>
          <w:szCs w:val="24"/>
        </w:rPr>
        <w:t xml:space="preserve"> indicates that at 0.5 level of significance, and degrees of freedom 5 and 561, the critical F-ratio was 2.62. The calculated F-ratios obtained in establishing the influence of level of education on usage of four types of ICS were as follows: usage of rotatory savings, F = 2.36 (P &lt; .05); usage of fixed savings, F = 2.07 (P &lt; .05); usage of mobile bankers, F = 3.55 (P &lt; .05); usage of individual money lenders, F = 6.44 (P &lt; .05). The calculated F-ratios were seen to be less than the critical F-ratio in rotatory savings and fixed savings, showing that level of education does not influence the use of rotatory and fixed savings as forms of informal credit systems. However, result was significant for mobile bankers and individual money lenders. Hence, level of education influences the use of mobile bankers and individual money lenders as forms of informal credit systems. With this result, it can be concluded that the level of education </w:t>
      </w:r>
      <w:proofErr w:type="spellStart"/>
      <w:r w:rsidR="00912D6E" w:rsidRPr="00912D6E">
        <w:rPr>
          <w:rFonts w:ascii="Times New Roman" w:hAnsi="Times New Roman" w:cs="Times New Roman"/>
          <w:sz w:val="24"/>
          <w:szCs w:val="24"/>
        </w:rPr>
        <w:t>favours</w:t>
      </w:r>
      <w:proofErr w:type="spellEnd"/>
      <w:r w:rsidR="00912D6E" w:rsidRPr="00912D6E">
        <w:rPr>
          <w:rFonts w:ascii="Times New Roman" w:hAnsi="Times New Roman" w:cs="Times New Roman"/>
          <w:sz w:val="24"/>
          <w:szCs w:val="24"/>
        </w:rPr>
        <w:t xml:space="preserve"> informal credit users categorized on group basis (ROSCA and FISCA).</w:t>
      </w:r>
    </w:p>
    <w:p w:rsidR="00912D6E" w:rsidRPr="00912D6E" w:rsidRDefault="00F51771" w:rsidP="00F51771">
      <w:pPr>
        <w:spacing w:after="0"/>
        <w:ind w:left="1170" w:hanging="1170"/>
        <w:rPr>
          <w:rFonts w:ascii="Times New Roman" w:hAnsi="Times New Roman" w:cs="Times New Roman"/>
          <w:b/>
          <w:sz w:val="24"/>
          <w:szCs w:val="24"/>
        </w:rPr>
      </w:pPr>
      <w:r>
        <w:rPr>
          <w:rFonts w:ascii="Times New Roman" w:hAnsi="Times New Roman" w:cs="Times New Roman"/>
          <w:b/>
          <w:sz w:val="24"/>
          <w:szCs w:val="24"/>
        </w:rPr>
        <w:lastRenderedPageBreak/>
        <w:t>Table 3</w:t>
      </w:r>
      <w:r w:rsidR="00912D6E" w:rsidRPr="00912D6E">
        <w:rPr>
          <w:rFonts w:ascii="Times New Roman" w:hAnsi="Times New Roman" w:cs="Times New Roman"/>
          <w:b/>
          <w:sz w:val="24"/>
          <w:szCs w:val="24"/>
        </w:rPr>
        <w:t xml:space="preserve">: </w:t>
      </w:r>
      <w:r w:rsidR="00912D6E" w:rsidRPr="00912D6E">
        <w:rPr>
          <w:rFonts w:ascii="Times New Roman" w:hAnsi="Times New Roman" w:cs="Times New Roman"/>
          <w:b/>
          <w:sz w:val="24"/>
          <w:szCs w:val="24"/>
        </w:rPr>
        <w:tab/>
        <w:t>One-Way Analysis of Variance (ANOVA) of influence of level of education on ICS usage</w:t>
      </w:r>
    </w:p>
    <w:tbl>
      <w:tblPr>
        <w:tblW w:w="8478" w:type="dxa"/>
        <w:tblLook w:val="04A0" w:firstRow="1" w:lastRow="0" w:firstColumn="1" w:lastColumn="0" w:noHBand="0" w:noVBand="1"/>
      </w:tblPr>
      <w:tblGrid>
        <w:gridCol w:w="1998"/>
        <w:gridCol w:w="2070"/>
        <w:gridCol w:w="900"/>
        <w:gridCol w:w="900"/>
        <w:gridCol w:w="810"/>
        <w:gridCol w:w="900"/>
        <w:gridCol w:w="900"/>
      </w:tblGrid>
      <w:tr w:rsidR="00912D6E" w:rsidRPr="00D1663C" w:rsidTr="00912D6E">
        <w:trPr>
          <w:trHeight w:val="300"/>
        </w:trPr>
        <w:tc>
          <w:tcPr>
            <w:tcW w:w="1998"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rPr>
                <w:rFonts w:ascii="Times New Roman" w:hAnsi="Times New Roman" w:cs="Times New Roman"/>
                <w:b/>
                <w:color w:val="000000"/>
              </w:rPr>
            </w:pPr>
            <w:r w:rsidRPr="00D1663C">
              <w:rPr>
                <w:rFonts w:ascii="Times New Roman" w:hAnsi="Times New Roman" w:cs="Times New Roman"/>
                <w:b/>
                <w:color w:val="000000"/>
              </w:rPr>
              <w:t>Informal credit system</w:t>
            </w:r>
          </w:p>
        </w:tc>
        <w:tc>
          <w:tcPr>
            <w:tcW w:w="207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rPr>
                <w:rFonts w:ascii="Times New Roman" w:hAnsi="Times New Roman" w:cs="Times New Roman"/>
                <w:b/>
                <w:color w:val="000000"/>
              </w:rPr>
            </w:pPr>
            <w:r w:rsidRPr="00D1663C">
              <w:rPr>
                <w:rFonts w:ascii="Times New Roman" w:hAnsi="Times New Roman" w:cs="Times New Roman"/>
                <w:b/>
                <w:color w:val="000000"/>
              </w:rPr>
              <w:t>Source of variation</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jc w:val="center"/>
              <w:rPr>
                <w:rFonts w:ascii="Times New Roman" w:hAnsi="Times New Roman" w:cs="Times New Roman"/>
                <w:b/>
                <w:color w:val="000000"/>
              </w:rPr>
            </w:pPr>
            <w:r w:rsidRPr="00D1663C">
              <w:rPr>
                <w:rFonts w:ascii="Times New Roman" w:hAnsi="Times New Roman" w:cs="Times New Roman"/>
                <w:b/>
                <w:color w:val="000000"/>
              </w:rPr>
              <w:t>SS</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jc w:val="center"/>
              <w:rPr>
                <w:rFonts w:ascii="Times New Roman" w:hAnsi="Times New Roman" w:cs="Times New Roman"/>
                <w:b/>
                <w:color w:val="000000"/>
              </w:rPr>
            </w:pPr>
            <w:proofErr w:type="spellStart"/>
            <w:r w:rsidRPr="00D1663C">
              <w:rPr>
                <w:rFonts w:ascii="Times New Roman" w:hAnsi="Times New Roman" w:cs="Times New Roman"/>
                <w:b/>
                <w:color w:val="000000"/>
              </w:rPr>
              <w:t>df</w:t>
            </w:r>
            <w:proofErr w:type="spellEnd"/>
          </w:p>
        </w:tc>
        <w:tc>
          <w:tcPr>
            <w:tcW w:w="81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jc w:val="center"/>
              <w:rPr>
                <w:rFonts w:ascii="Times New Roman" w:hAnsi="Times New Roman" w:cs="Times New Roman"/>
                <w:b/>
                <w:color w:val="000000"/>
              </w:rPr>
            </w:pPr>
            <w:r w:rsidRPr="00D1663C">
              <w:rPr>
                <w:rFonts w:ascii="Times New Roman" w:hAnsi="Times New Roman" w:cs="Times New Roman"/>
                <w:b/>
                <w:color w:val="000000"/>
              </w:rPr>
              <w:t>MS</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jc w:val="center"/>
              <w:rPr>
                <w:rFonts w:ascii="Times New Roman" w:hAnsi="Times New Roman" w:cs="Times New Roman"/>
                <w:b/>
                <w:color w:val="000000"/>
              </w:rPr>
            </w:pPr>
            <w:r w:rsidRPr="00D1663C">
              <w:rPr>
                <w:rFonts w:ascii="Times New Roman" w:hAnsi="Times New Roman" w:cs="Times New Roman"/>
                <w:b/>
                <w:color w:val="000000"/>
              </w:rPr>
              <w:t>F</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384943">
            <w:pPr>
              <w:spacing w:after="0"/>
              <w:jc w:val="center"/>
              <w:rPr>
                <w:rFonts w:ascii="Times New Roman" w:hAnsi="Times New Roman" w:cs="Times New Roman"/>
                <w:b/>
                <w:color w:val="000000"/>
              </w:rPr>
            </w:pPr>
            <w:r w:rsidRPr="00D1663C">
              <w:rPr>
                <w:rFonts w:ascii="Times New Roman" w:hAnsi="Times New Roman" w:cs="Times New Roman"/>
                <w:b/>
                <w:color w:val="000000"/>
              </w:rPr>
              <w:t>Sig.</w:t>
            </w: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Rotatory saving</w:t>
            </w: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Between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23.18</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7.73</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2.36</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Within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560.34</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1.00</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Total</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583.53</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566</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Fixed saving</w:t>
            </w: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Between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10.74</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3.58</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2.07</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.022</w:t>
            </w: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Within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620.69</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1.10</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Total</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631.43</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566</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Mobile bankers</w:t>
            </w: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Between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6.15</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2.05</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3.55*</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.103</w:t>
            </w: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Within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557.44</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0.99</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Total</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563.59</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566</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Individual money lenders</w:t>
            </w: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Between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29.07</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9.69</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6.44*</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00"/>
        </w:trPr>
        <w:tc>
          <w:tcPr>
            <w:tcW w:w="1998"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2070" w:type="dxa"/>
            <w:tcBorders>
              <w:top w:val="nil"/>
              <w:left w:val="nil"/>
              <w:bottom w:val="nil"/>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Within Groups</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847.37</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563</w:t>
            </w:r>
          </w:p>
        </w:tc>
        <w:tc>
          <w:tcPr>
            <w:tcW w:w="81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1.51</w:t>
            </w: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384943">
            <w:pPr>
              <w:spacing w:after="0"/>
              <w:jc w:val="center"/>
              <w:rPr>
                <w:rFonts w:ascii="Times New Roman" w:hAnsi="Times New Roman" w:cs="Times New Roman"/>
              </w:rPr>
            </w:pPr>
          </w:p>
        </w:tc>
      </w:tr>
      <w:tr w:rsidR="00912D6E" w:rsidRPr="00D1663C" w:rsidTr="00912D6E">
        <w:trPr>
          <w:trHeight w:val="300"/>
        </w:trPr>
        <w:tc>
          <w:tcPr>
            <w:tcW w:w="1998" w:type="dxa"/>
            <w:tcBorders>
              <w:top w:val="nil"/>
              <w:left w:val="nil"/>
              <w:bottom w:val="single" w:sz="4" w:space="0" w:color="auto"/>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 </w:t>
            </w:r>
          </w:p>
        </w:tc>
        <w:tc>
          <w:tcPr>
            <w:tcW w:w="2070" w:type="dxa"/>
            <w:tcBorders>
              <w:top w:val="nil"/>
              <w:left w:val="nil"/>
              <w:bottom w:val="single" w:sz="4" w:space="0" w:color="auto"/>
              <w:right w:val="nil"/>
            </w:tcBorders>
            <w:shd w:val="clear" w:color="auto" w:fill="auto"/>
            <w:noWrap/>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Total</w:t>
            </w:r>
          </w:p>
        </w:tc>
        <w:tc>
          <w:tcPr>
            <w:tcW w:w="900" w:type="dxa"/>
            <w:tcBorders>
              <w:top w:val="nil"/>
              <w:left w:val="nil"/>
              <w:bottom w:val="single" w:sz="4" w:space="0" w:color="auto"/>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876.44</w:t>
            </w:r>
          </w:p>
        </w:tc>
        <w:tc>
          <w:tcPr>
            <w:tcW w:w="900" w:type="dxa"/>
            <w:tcBorders>
              <w:top w:val="nil"/>
              <w:left w:val="nil"/>
              <w:bottom w:val="single" w:sz="4" w:space="0" w:color="auto"/>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566</w:t>
            </w:r>
          </w:p>
        </w:tc>
        <w:tc>
          <w:tcPr>
            <w:tcW w:w="810" w:type="dxa"/>
            <w:tcBorders>
              <w:top w:val="nil"/>
              <w:left w:val="nil"/>
              <w:bottom w:val="single" w:sz="4" w:space="0" w:color="auto"/>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 </w:t>
            </w:r>
          </w:p>
        </w:tc>
        <w:tc>
          <w:tcPr>
            <w:tcW w:w="900" w:type="dxa"/>
            <w:tcBorders>
              <w:top w:val="nil"/>
              <w:left w:val="nil"/>
              <w:bottom w:val="single" w:sz="4" w:space="0" w:color="auto"/>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 </w:t>
            </w:r>
          </w:p>
        </w:tc>
        <w:tc>
          <w:tcPr>
            <w:tcW w:w="900" w:type="dxa"/>
            <w:tcBorders>
              <w:top w:val="nil"/>
              <w:left w:val="nil"/>
              <w:bottom w:val="single" w:sz="4" w:space="0" w:color="auto"/>
              <w:right w:val="nil"/>
            </w:tcBorders>
            <w:shd w:val="clear" w:color="auto" w:fill="auto"/>
            <w:noWrap/>
            <w:hideMark/>
          </w:tcPr>
          <w:p w:rsidR="00912D6E" w:rsidRPr="00D1663C" w:rsidRDefault="00912D6E" w:rsidP="00384943">
            <w:pPr>
              <w:spacing w:after="0"/>
              <w:jc w:val="center"/>
              <w:rPr>
                <w:rFonts w:ascii="Times New Roman" w:hAnsi="Times New Roman" w:cs="Times New Roman"/>
                <w:color w:val="000000"/>
              </w:rPr>
            </w:pPr>
            <w:r w:rsidRPr="00D1663C">
              <w:rPr>
                <w:rFonts w:ascii="Times New Roman" w:hAnsi="Times New Roman" w:cs="Times New Roman"/>
                <w:color w:val="000000"/>
              </w:rPr>
              <w:t> </w:t>
            </w:r>
          </w:p>
        </w:tc>
      </w:tr>
      <w:tr w:rsidR="00912D6E" w:rsidRPr="00D1663C" w:rsidTr="00912D6E">
        <w:trPr>
          <w:trHeight w:val="300"/>
        </w:trPr>
        <w:tc>
          <w:tcPr>
            <w:tcW w:w="5868" w:type="dxa"/>
            <w:gridSpan w:val="4"/>
            <w:tcBorders>
              <w:top w:val="single" w:sz="4" w:space="0" w:color="auto"/>
              <w:left w:val="nil"/>
              <w:bottom w:val="nil"/>
              <w:right w:val="nil"/>
            </w:tcBorders>
            <w:shd w:val="clear" w:color="auto" w:fill="auto"/>
            <w:noWrap/>
            <w:vAlign w:val="bottom"/>
            <w:hideMark/>
          </w:tcPr>
          <w:p w:rsidR="00912D6E" w:rsidRPr="00D1663C" w:rsidRDefault="00912D6E" w:rsidP="00384943">
            <w:pPr>
              <w:spacing w:after="0"/>
              <w:rPr>
                <w:rFonts w:ascii="Times New Roman" w:hAnsi="Times New Roman" w:cs="Times New Roman"/>
                <w:color w:val="000000"/>
              </w:rPr>
            </w:pPr>
            <w:r w:rsidRPr="00D1663C">
              <w:rPr>
                <w:rFonts w:ascii="Times New Roman" w:hAnsi="Times New Roman" w:cs="Times New Roman"/>
                <w:color w:val="000000"/>
              </w:rPr>
              <w:t>Source: Field data (2017)  *p&lt;.05; df3&amp;566; Critical F .62</w:t>
            </w:r>
          </w:p>
        </w:tc>
        <w:tc>
          <w:tcPr>
            <w:tcW w:w="810" w:type="dxa"/>
            <w:tcBorders>
              <w:top w:val="nil"/>
              <w:left w:val="nil"/>
              <w:bottom w:val="nil"/>
              <w:right w:val="nil"/>
            </w:tcBorders>
            <w:shd w:val="clear" w:color="auto" w:fill="auto"/>
            <w:noWrap/>
            <w:vAlign w:val="bottom"/>
            <w:hideMark/>
          </w:tcPr>
          <w:p w:rsidR="00912D6E" w:rsidRPr="00D1663C" w:rsidRDefault="00912D6E" w:rsidP="00384943">
            <w:pPr>
              <w:spacing w:after="0"/>
              <w:rPr>
                <w:rFonts w:ascii="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rsidR="00912D6E" w:rsidRPr="00D1663C" w:rsidRDefault="00912D6E" w:rsidP="00384943">
            <w:pPr>
              <w:spacing w:after="0"/>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912D6E" w:rsidRPr="00D1663C" w:rsidRDefault="00912D6E" w:rsidP="00384943">
            <w:pPr>
              <w:spacing w:after="0"/>
              <w:rPr>
                <w:rFonts w:ascii="Times New Roman" w:hAnsi="Times New Roman" w:cs="Times New Roman"/>
              </w:rPr>
            </w:pPr>
          </w:p>
        </w:tc>
      </w:tr>
    </w:tbl>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Having obtained significant F-ratios, a post-hoc test was carried out using Least Significant Difference (LSD) multiple comparison </w:t>
      </w:r>
      <w:proofErr w:type="gramStart"/>
      <w:r w:rsidRPr="00912D6E">
        <w:rPr>
          <w:rFonts w:ascii="Times New Roman" w:hAnsi="Times New Roman" w:cs="Times New Roman"/>
          <w:sz w:val="24"/>
          <w:szCs w:val="24"/>
        </w:rPr>
        <w:t>test</w:t>
      </w:r>
      <w:proofErr w:type="gramEnd"/>
      <w:r w:rsidRPr="00912D6E">
        <w:rPr>
          <w:rFonts w:ascii="Times New Roman" w:hAnsi="Times New Roman" w:cs="Times New Roman"/>
          <w:sz w:val="24"/>
          <w:szCs w:val="24"/>
        </w:rPr>
        <w:t>. This was to ascertain the groups where the significance occurred by pair-wise comparison of four categories of level of education. The r</w:t>
      </w:r>
      <w:r w:rsidR="00F51771">
        <w:rPr>
          <w:rFonts w:ascii="Times New Roman" w:hAnsi="Times New Roman" w:cs="Times New Roman"/>
          <w:sz w:val="24"/>
          <w:szCs w:val="24"/>
        </w:rPr>
        <w:t>esult is presented in Table 4</w:t>
      </w:r>
      <w:r w:rsidRPr="00912D6E">
        <w:rPr>
          <w:rFonts w:ascii="Times New Roman" w:hAnsi="Times New Roman" w:cs="Times New Roman"/>
          <w:sz w:val="24"/>
          <w:szCs w:val="24"/>
        </w:rPr>
        <w:t xml:space="preserve">. </w:t>
      </w:r>
    </w:p>
    <w:p w:rsidR="00912D6E" w:rsidRPr="00912D6E" w:rsidRDefault="00F51771" w:rsidP="006B1B2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Table 4</w:t>
      </w:r>
      <w:r w:rsidR="00912D6E" w:rsidRPr="00912D6E">
        <w:rPr>
          <w:rFonts w:ascii="Times New Roman" w:hAnsi="Times New Roman" w:cs="Times New Roman"/>
          <w:sz w:val="24"/>
          <w:szCs w:val="24"/>
        </w:rPr>
        <w:t xml:space="preserve"> shows that with regard to rotatory savings, the comparison of the educational level of no formal education with those of primary and secondary education showed insignificant mean difference. This indicated that respondents in the two categories did not significantly differ in their usage of rotatory savings. The comparison of respondents with no formal education and those with tertiary education, on the other hand, showed significant mean difference that was positive. This means that the group with no formal education significantly differed from informal credit systems patrons with tertiary level of education in their usage of rotatory savings. The comparison of those with primary education with other educational levels showed that they significantly differed in their use of rotatory savings with patrons who had secondary and tertiary </w:t>
      </w:r>
      <w:r w:rsidR="00912D6E" w:rsidRPr="00912D6E">
        <w:rPr>
          <w:rFonts w:ascii="Times New Roman" w:hAnsi="Times New Roman" w:cs="Times New Roman"/>
          <w:sz w:val="24"/>
          <w:szCs w:val="24"/>
        </w:rPr>
        <w:lastRenderedPageBreak/>
        <w:t>education. The comparison of ICSs patrons with secondary level of education and those with tertiary education showed a significant mean difference in their usage of rotatory savings.</w:t>
      </w:r>
    </w:p>
    <w:p w:rsidR="00912D6E" w:rsidRPr="00912D6E" w:rsidRDefault="00F51771" w:rsidP="00384943">
      <w:pPr>
        <w:spacing w:after="0" w:line="240" w:lineRule="auto"/>
        <w:ind w:left="1260" w:hanging="1260"/>
        <w:rPr>
          <w:rFonts w:ascii="Times New Roman" w:hAnsi="Times New Roman" w:cs="Times New Roman"/>
          <w:b/>
          <w:sz w:val="24"/>
          <w:szCs w:val="24"/>
        </w:rPr>
      </w:pPr>
      <w:r>
        <w:rPr>
          <w:rFonts w:ascii="Times New Roman" w:hAnsi="Times New Roman" w:cs="Times New Roman"/>
          <w:b/>
          <w:sz w:val="24"/>
          <w:szCs w:val="24"/>
        </w:rPr>
        <w:t>Table 4</w:t>
      </w:r>
      <w:r w:rsidR="00912D6E" w:rsidRPr="00912D6E">
        <w:rPr>
          <w:rFonts w:ascii="Times New Roman" w:hAnsi="Times New Roman" w:cs="Times New Roman"/>
          <w:b/>
          <w:sz w:val="24"/>
          <w:szCs w:val="24"/>
        </w:rPr>
        <w:t>: Least Significant Difference (LSD) multiple comparison test of influence of educational level on ICS usage</w:t>
      </w:r>
    </w:p>
    <w:tbl>
      <w:tblPr>
        <w:tblW w:w="8568" w:type="dxa"/>
        <w:tblLook w:val="04A0" w:firstRow="1" w:lastRow="0" w:firstColumn="1" w:lastColumn="0" w:noHBand="0" w:noVBand="1"/>
      </w:tblPr>
      <w:tblGrid>
        <w:gridCol w:w="2129"/>
        <w:gridCol w:w="1832"/>
        <w:gridCol w:w="2112"/>
        <w:gridCol w:w="1731"/>
        <w:gridCol w:w="764"/>
      </w:tblGrid>
      <w:tr w:rsidR="00912D6E" w:rsidRPr="00384943" w:rsidTr="00912D6E">
        <w:trPr>
          <w:trHeight w:val="298"/>
        </w:trPr>
        <w:tc>
          <w:tcPr>
            <w:tcW w:w="2129" w:type="dxa"/>
            <w:tcBorders>
              <w:top w:val="single" w:sz="4" w:space="0" w:color="auto"/>
              <w:left w:val="nil"/>
              <w:bottom w:val="single" w:sz="4" w:space="0" w:color="auto"/>
              <w:right w:val="nil"/>
            </w:tcBorders>
            <w:shd w:val="clear" w:color="auto" w:fill="auto"/>
            <w:noWrap/>
            <w:vAlign w:val="bottom"/>
            <w:hideMark/>
          </w:tcPr>
          <w:p w:rsidR="00912D6E" w:rsidRPr="00384943" w:rsidRDefault="00912D6E" w:rsidP="00384943">
            <w:pPr>
              <w:spacing w:after="0" w:line="240" w:lineRule="auto"/>
              <w:rPr>
                <w:rFonts w:ascii="Times New Roman" w:hAnsi="Times New Roman" w:cs="Times New Roman"/>
                <w:b/>
                <w:color w:val="000000"/>
              </w:rPr>
            </w:pPr>
            <w:r w:rsidRPr="00384943">
              <w:rPr>
                <w:rFonts w:ascii="Times New Roman" w:hAnsi="Times New Roman" w:cs="Times New Roman"/>
                <w:b/>
                <w:color w:val="000000"/>
              </w:rPr>
              <w:t>Informal credit system</w:t>
            </w:r>
          </w:p>
        </w:tc>
        <w:tc>
          <w:tcPr>
            <w:tcW w:w="1832" w:type="dxa"/>
            <w:tcBorders>
              <w:top w:val="single" w:sz="4" w:space="0" w:color="auto"/>
              <w:left w:val="nil"/>
              <w:bottom w:val="single" w:sz="4" w:space="0" w:color="auto"/>
              <w:right w:val="nil"/>
            </w:tcBorders>
            <w:shd w:val="clear" w:color="auto" w:fill="auto"/>
            <w:noWrap/>
            <w:vAlign w:val="bottom"/>
            <w:hideMark/>
          </w:tcPr>
          <w:p w:rsidR="00912D6E" w:rsidRPr="00384943" w:rsidRDefault="00912D6E" w:rsidP="00384943">
            <w:pPr>
              <w:spacing w:after="0" w:line="240" w:lineRule="auto"/>
              <w:jc w:val="center"/>
              <w:rPr>
                <w:rFonts w:ascii="Times New Roman" w:hAnsi="Times New Roman" w:cs="Times New Roman"/>
                <w:b/>
                <w:color w:val="000000"/>
              </w:rPr>
            </w:pPr>
            <w:r w:rsidRPr="00384943">
              <w:rPr>
                <w:rFonts w:ascii="Times New Roman" w:hAnsi="Times New Roman" w:cs="Times New Roman"/>
                <w:b/>
                <w:color w:val="000000"/>
              </w:rPr>
              <w:t>Comparison group (I)</w:t>
            </w:r>
          </w:p>
        </w:tc>
        <w:tc>
          <w:tcPr>
            <w:tcW w:w="2112" w:type="dxa"/>
            <w:tcBorders>
              <w:top w:val="single" w:sz="4" w:space="0" w:color="auto"/>
              <w:left w:val="nil"/>
              <w:bottom w:val="single" w:sz="4" w:space="0" w:color="auto"/>
              <w:right w:val="nil"/>
            </w:tcBorders>
            <w:shd w:val="clear" w:color="auto" w:fill="auto"/>
            <w:noWrap/>
            <w:vAlign w:val="bottom"/>
            <w:hideMark/>
          </w:tcPr>
          <w:p w:rsidR="00912D6E" w:rsidRPr="00384943" w:rsidRDefault="00912D6E" w:rsidP="00384943">
            <w:pPr>
              <w:spacing w:after="0" w:line="240" w:lineRule="auto"/>
              <w:jc w:val="center"/>
              <w:rPr>
                <w:rFonts w:ascii="Times New Roman" w:hAnsi="Times New Roman" w:cs="Times New Roman"/>
                <w:b/>
                <w:color w:val="000000"/>
              </w:rPr>
            </w:pPr>
            <w:r w:rsidRPr="00384943">
              <w:rPr>
                <w:rFonts w:ascii="Times New Roman" w:hAnsi="Times New Roman" w:cs="Times New Roman"/>
                <w:b/>
                <w:color w:val="000000"/>
              </w:rPr>
              <w:t xml:space="preserve">Comparison group </w:t>
            </w:r>
          </w:p>
          <w:p w:rsidR="00912D6E" w:rsidRPr="00384943" w:rsidRDefault="00912D6E" w:rsidP="00384943">
            <w:pPr>
              <w:spacing w:after="0" w:line="240" w:lineRule="auto"/>
              <w:jc w:val="center"/>
              <w:rPr>
                <w:rFonts w:ascii="Times New Roman" w:hAnsi="Times New Roman" w:cs="Times New Roman"/>
                <w:b/>
                <w:color w:val="000000"/>
              </w:rPr>
            </w:pPr>
            <w:r w:rsidRPr="00384943">
              <w:rPr>
                <w:rFonts w:ascii="Times New Roman" w:hAnsi="Times New Roman" w:cs="Times New Roman"/>
                <w:b/>
                <w:color w:val="000000"/>
              </w:rPr>
              <w:t>(J)</w:t>
            </w:r>
          </w:p>
        </w:tc>
        <w:tc>
          <w:tcPr>
            <w:tcW w:w="1731" w:type="dxa"/>
            <w:tcBorders>
              <w:top w:val="single" w:sz="4" w:space="0" w:color="auto"/>
              <w:left w:val="nil"/>
              <w:bottom w:val="single" w:sz="4" w:space="0" w:color="auto"/>
              <w:right w:val="nil"/>
            </w:tcBorders>
            <w:shd w:val="clear" w:color="auto" w:fill="auto"/>
            <w:noWrap/>
            <w:vAlign w:val="bottom"/>
            <w:hideMark/>
          </w:tcPr>
          <w:p w:rsidR="00912D6E" w:rsidRPr="00384943" w:rsidRDefault="00912D6E" w:rsidP="00384943">
            <w:pPr>
              <w:spacing w:after="0" w:line="240" w:lineRule="auto"/>
              <w:jc w:val="center"/>
              <w:rPr>
                <w:rFonts w:ascii="Times New Roman" w:hAnsi="Times New Roman" w:cs="Times New Roman"/>
                <w:b/>
                <w:color w:val="000000"/>
              </w:rPr>
            </w:pPr>
            <w:r w:rsidRPr="00384943">
              <w:rPr>
                <w:rFonts w:ascii="Times New Roman" w:hAnsi="Times New Roman" w:cs="Times New Roman"/>
                <w:b/>
                <w:color w:val="000000"/>
              </w:rPr>
              <w:t>Mean Difference</w:t>
            </w:r>
          </w:p>
          <w:p w:rsidR="00912D6E" w:rsidRPr="00384943" w:rsidRDefault="00912D6E" w:rsidP="00384943">
            <w:pPr>
              <w:spacing w:after="0" w:line="240" w:lineRule="auto"/>
              <w:jc w:val="center"/>
              <w:rPr>
                <w:rFonts w:ascii="Times New Roman" w:hAnsi="Times New Roman" w:cs="Times New Roman"/>
                <w:b/>
                <w:color w:val="000000"/>
              </w:rPr>
            </w:pPr>
            <w:r w:rsidRPr="00384943">
              <w:rPr>
                <w:rFonts w:ascii="Times New Roman" w:hAnsi="Times New Roman" w:cs="Times New Roman"/>
                <w:b/>
                <w:color w:val="000000"/>
              </w:rPr>
              <w:t>(I-J)</w:t>
            </w:r>
          </w:p>
        </w:tc>
        <w:tc>
          <w:tcPr>
            <w:tcW w:w="764" w:type="dxa"/>
            <w:tcBorders>
              <w:top w:val="single" w:sz="4" w:space="0" w:color="auto"/>
              <w:left w:val="nil"/>
              <w:bottom w:val="single" w:sz="4" w:space="0" w:color="auto"/>
              <w:right w:val="nil"/>
            </w:tcBorders>
            <w:shd w:val="clear" w:color="auto" w:fill="auto"/>
            <w:noWrap/>
            <w:vAlign w:val="bottom"/>
            <w:hideMark/>
          </w:tcPr>
          <w:p w:rsidR="00912D6E" w:rsidRPr="00384943" w:rsidRDefault="00912D6E" w:rsidP="00384943">
            <w:pPr>
              <w:spacing w:after="0" w:line="240" w:lineRule="auto"/>
              <w:jc w:val="center"/>
              <w:rPr>
                <w:rFonts w:ascii="Times New Roman" w:hAnsi="Times New Roman" w:cs="Times New Roman"/>
                <w:b/>
                <w:color w:val="000000"/>
              </w:rPr>
            </w:pPr>
            <w:r w:rsidRPr="00384943">
              <w:rPr>
                <w:rFonts w:ascii="Times New Roman" w:hAnsi="Times New Roman" w:cs="Times New Roman"/>
                <w:b/>
                <w:color w:val="000000"/>
              </w:rPr>
              <w:t>Sig.</w:t>
            </w:r>
          </w:p>
        </w:tc>
      </w:tr>
      <w:tr w:rsidR="00912D6E" w:rsidRPr="00384943" w:rsidTr="00912D6E">
        <w:trPr>
          <w:trHeight w:val="29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Rotatory saving</w:t>
            </w: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No formal education</w:t>
            </w: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Primary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-.32909</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.111</w:t>
            </w:r>
          </w:p>
        </w:tc>
      </w:tr>
      <w:tr w:rsidR="00912D6E" w:rsidRPr="00384943" w:rsidTr="00912D6E">
        <w:trPr>
          <w:trHeight w:val="29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rPr>
            </w:pP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Secondary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.06958</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.674</w:t>
            </w:r>
          </w:p>
        </w:tc>
      </w:tr>
      <w:tr w:rsidR="00912D6E" w:rsidRPr="00384943" w:rsidTr="00912D6E">
        <w:trPr>
          <w:trHeight w:val="35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rPr>
            </w:pP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Tertiary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.33900</w:t>
            </w:r>
            <w:r w:rsidRPr="00384943">
              <w:rPr>
                <w:rFonts w:ascii="Times New Roman" w:hAnsi="Times New Roman" w:cs="Times New Roman"/>
                <w:color w:val="000000"/>
                <w:vertAlign w:val="superscript"/>
              </w:rPr>
              <w:t>*</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.037</w:t>
            </w:r>
          </w:p>
        </w:tc>
      </w:tr>
      <w:tr w:rsidR="00912D6E" w:rsidRPr="00384943" w:rsidTr="00912D6E">
        <w:trPr>
          <w:trHeight w:val="35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Primary education</w:t>
            </w: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Secondary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.39867</w:t>
            </w:r>
            <w:r w:rsidRPr="00384943">
              <w:rPr>
                <w:rFonts w:ascii="Times New Roman" w:hAnsi="Times New Roman" w:cs="Times New Roman"/>
                <w:color w:val="000000"/>
                <w:vertAlign w:val="superscript"/>
              </w:rPr>
              <w:t>*</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.011</w:t>
            </w:r>
          </w:p>
        </w:tc>
      </w:tr>
      <w:tr w:rsidR="00912D6E" w:rsidRPr="00384943" w:rsidTr="00912D6E">
        <w:trPr>
          <w:trHeight w:val="35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rPr>
            </w:pP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Tertiary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.66809</w:t>
            </w:r>
            <w:r w:rsidRPr="00384943">
              <w:rPr>
                <w:rFonts w:ascii="Times New Roman" w:hAnsi="Times New Roman" w:cs="Times New Roman"/>
                <w:color w:val="000000"/>
                <w:vertAlign w:val="superscript"/>
              </w:rPr>
              <w:t>*</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.000</w:t>
            </w:r>
          </w:p>
        </w:tc>
      </w:tr>
      <w:tr w:rsidR="00912D6E" w:rsidRPr="00384943" w:rsidTr="00912D6E">
        <w:trPr>
          <w:trHeight w:val="35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Secondary education</w:t>
            </w: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Tertiary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.26942</w:t>
            </w:r>
            <w:r w:rsidRPr="00384943">
              <w:rPr>
                <w:rFonts w:ascii="Times New Roman" w:hAnsi="Times New Roman" w:cs="Times New Roman"/>
                <w:color w:val="000000"/>
                <w:vertAlign w:val="superscript"/>
              </w:rPr>
              <w:t>*</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.004</w:t>
            </w:r>
          </w:p>
        </w:tc>
      </w:tr>
      <w:tr w:rsidR="00912D6E" w:rsidRPr="00384943" w:rsidTr="00912D6E">
        <w:trPr>
          <w:trHeight w:val="35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Fixed saving</w:t>
            </w: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No formal education</w:t>
            </w: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Primary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.22588</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.025</w:t>
            </w:r>
          </w:p>
        </w:tc>
      </w:tr>
      <w:tr w:rsidR="00912D6E" w:rsidRPr="00384943" w:rsidTr="00912D6E">
        <w:trPr>
          <w:trHeight w:val="29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rPr>
            </w:pP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Secondary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.03942</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.821</w:t>
            </w:r>
          </w:p>
        </w:tc>
      </w:tr>
      <w:tr w:rsidR="00912D6E" w:rsidRPr="00384943" w:rsidTr="00912D6E">
        <w:trPr>
          <w:trHeight w:val="29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rPr>
            </w:pP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Tertiary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.48909</w:t>
            </w:r>
            <w:r w:rsidRPr="00384943">
              <w:rPr>
                <w:rFonts w:ascii="Times New Roman" w:hAnsi="Times New Roman" w:cs="Times New Roman"/>
                <w:color w:val="000000"/>
                <w:vertAlign w:val="superscript"/>
              </w:rPr>
              <w:t>*</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.187</w:t>
            </w:r>
          </w:p>
        </w:tc>
      </w:tr>
      <w:tr w:rsidR="00912D6E" w:rsidRPr="00384943" w:rsidTr="00912D6E">
        <w:trPr>
          <w:trHeight w:val="35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Primary education</w:t>
            </w: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Secondary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-.26321</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.007</w:t>
            </w:r>
          </w:p>
        </w:tc>
      </w:tr>
      <w:tr w:rsidR="00912D6E" w:rsidRPr="00384943" w:rsidTr="00912D6E">
        <w:trPr>
          <w:trHeight w:val="29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rPr>
            </w:pP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Tertiary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-.44967</w:t>
            </w:r>
            <w:r w:rsidRPr="00384943">
              <w:rPr>
                <w:rFonts w:ascii="Times New Roman" w:hAnsi="Times New Roman" w:cs="Times New Roman"/>
                <w:color w:val="000000"/>
                <w:vertAlign w:val="superscript"/>
              </w:rPr>
              <w:t>*</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.105</w:t>
            </w:r>
          </w:p>
        </w:tc>
      </w:tr>
      <w:tr w:rsidR="00912D6E" w:rsidRPr="00384943" w:rsidTr="00912D6E">
        <w:trPr>
          <w:trHeight w:val="298"/>
        </w:trPr>
        <w:tc>
          <w:tcPr>
            <w:tcW w:w="2129"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p>
        </w:tc>
        <w:tc>
          <w:tcPr>
            <w:tcW w:w="183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Secondary education</w:t>
            </w:r>
          </w:p>
        </w:tc>
        <w:tc>
          <w:tcPr>
            <w:tcW w:w="2112" w:type="dxa"/>
            <w:tcBorders>
              <w:top w:val="nil"/>
              <w:left w:val="nil"/>
              <w:bottom w:val="nil"/>
              <w:right w:val="nil"/>
            </w:tcBorders>
            <w:shd w:val="clear" w:color="auto" w:fill="auto"/>
            <w:noWrap/>
            <w:hideMark/>
          </w:tcPr>
          <w:p w:rsidR="00912D6E" w:rsidRPr="00384943" w:rsidRDefault="00912D6E" w:rsidP="00384943">
            <w:pPr>
              <w:spacing w:after="0" w:line="240" w:lineRule="auto"/>
              <w:rPr>
                <w:rFonts w:ascii="Times New Roman" w:hAnsi="Times New Roman" w:cs="Times New Roman"/>
                <w:color w:val="000000"/>
              </w:rPr>
            </w:pPr>
            <w:r w:rsidRPr="00384943">
              <w:rPr>
                <w:rFonts w:ascii="Times New Roman" w:hAnsi="Times New Roman" w:cs="Times New Roman"/>
                <w:color w:val="000000"/>
              </w:rPr>
              <w:t>Tertiary education</w:t>
            </w:r>
          </w:p>
        </w:tc>
        <w:tc>
          <w:tcPr>
            <w:tcW w:w="1731"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.18646</w:t>
            </w:r>
          </w:p>
        </w:tc>
        <w:tc>
          <w:tcPr>
            <w:tcW w:w="764" w:type="dxa"/>
            <w:tcBorders>
              <w:top w:val="nil"/>
              <w:left w:val="nil"/>
              <w:bottom w:val="nil"/>
              <w:right w:val="nil"/>
            </w:tcBorders>
            <w:shd w:val="clear" w:color="auto" w:fill="auto"/>
            <w:noWrap/>
            <w:hideMark/>
          </w:tcPr>
          <w:p w:rsidR="00912D6E" w:rsidRPr="00384943" w:rsidRDefault="00912D6E" w:rsidP="00384943">
            <w:pPr>
              <w:spacing w:after="0" w:line="240" w:lineRule="auto"/>
              <w:jc w:val="center"/>
              <w:rPr>
                <w:rFonts w:ascii="Times New Roman" w:hAnsi="Times New Roman" w:cs="Times New Roman"/>
                <w:color w:val="000000"/>
              </w:rPr>
            </w:pPr>
            <w:r w:rsidRPr="00384943">
              <w:rPr>
                <w:rFonts w:ascii="Times New Roman" w:hAnsi="Times New Roman" w:cs="Times New Roman"/>
                <w:color w:val="000000"/>
              </w:rPr>
              <w:t>.055</w:t>
            </w:r>
          </w:p>
        </w:tc>
      </w:tr>
      <w:tr w:rsidR="00912D6E" w:rsidRPr="00384943" w:rsidTr="00912D6E">
        <w:trPr>
          <w:trHeight w:val="298"/>
        </w:trPr>
        <w:tc>
          <w:tcPr>
            <w:tcW w:w="8568" w:type="dxa"/>
            <w:gridSpan w:val="5"/>
            <w:tcBorders>
              <w:top w:val="single" w:sz="4" w:space="0" w:color="auto"/>
              <w:left w:val="nil"/>
              <w:bottom w:val="nil"/>
              <w:right w:val="nil"/>
            </w:tcBorders>
            <w:shd w:val="clear" w:color="auto" w:fill="auto"/>
            <w:noWrap/>
            <w:hideMark/>
          </w:tcPr>
          <w:p w:rsidR="00912D6E" w:rsidRPr="00384943" w:rsidRDefault="00912D6E" w:rsidP="00384943">
            <w:pPr>
              <w:spacing w:after="0" w:line="240" w:lineRule="auto"/>
              <w:ind w:left="810" w:hanging="810"/>
              <w:rPr>
                <w:rFonts w:ascii="Times New Roman" w:hAnsi="Times New Roman" w:cs="Times New Roman"/>
                <w:color w:val="000000"/>
              </w:rPr>
            </w:pPr>
            <w:r w:rsidRPr="00384943">
              <w:rPr>
                <w:rFonts w:ascii="Times New Roman" w:hAnsi="Times New Roman" w:cs="Times New Roman"/>
                <w:color w:val="000000"/>
              </w:rPr>
              <w:t xml:space="preserve">Source: Field data (2017) *. The mean difference is significant </w:t>
            </w:r>
            <w:proofErr w:type="gramStart"/>
            <w:r w:rsidRPr="00384943">
              <w:rPr>
                <w:rFonts w:ascii="Times New Roman" w:hAnsi="Times New Roman" w:cs="Times New Roman"/>
                <w:color w:val="000000"/>
              </w:rPr>
              <w:t>at 0.05 level of significance</w:t>
            </w:r>
            <w:proofErr w:type="gramEnd"/>
            <w:r w:rsidRPr="00384943">
              <w:rPr>
                <w:rFonts w:ascii="Times New Roman" w:hAnsi="Times New Roman" w:cs="Times New Roman"/>
                <w:color w:val="000000"/>
              </w:rPr>
              <w:t>.</w:t>
            </w:r>
          </w:p>
        </w:tc>
      </w:tr>
    </w:tbl>
    <w:p w:rsidR="00912D6E" w:rsidRPr="00912D6E" w:rsidRDefault="00912D6E" w:rsidP="00912D6E">
      <w:pPr>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With regard to fixed savings, the multiple comparisons of patrons of informal credit groups with no formal education showed a significant mean difference. This showed that respondents with no formal education do not significantly differ from patrons with primary education in their usage of informal credit groups. This means that patrons in the two categories do not significantly differ in their usage of ICS. However, patrons of ICS with no formal education differed from those who had acquired tertiary education. This showed that more patrons with no formal education used fixed saving as form of ICS than those with tertiary education. The comparison of users with primary education and secondary education showed no significant difference in their usage, but there was significance in usage among patrons with tertiary education.</w:t>
      </w:r>
    </w:p>
    <w:p w:rsidR="00912D6E" w:rsidRPr="00912D6E" w:rsidRDefault="00912D6E" w:rsidP="00912D6E">
      <w:pPr>
        <w:ind w:left="810" w:hanging="810"/>
        <w:jc w:val="both"/>
        <w:rPr>
          <w:rFonts w:ascii="Times New Roman" w:hAnsi="Times New Roman" w:cs="Times New Roman"/>
          <w:b/>
          <w:sz w:val="24"/>
          <w:szCs w:val="24"/>
        </w:rPr>
      </w:pPr>
      <w:r w:rsidRPr="00912D6E">
        <w:rPr>
          <w:rFonts w:ascii="Times New Roman" w:hAnsi="Times New Roman" w:cs="Times New Roman"/>
          <w:b/>
          <w:sz w:val="24"/>
          <w:szCs w:val="24"/>
        </w:rPr>
        <w:lastRenderedPageBreak/>
        <w:t>The influence of patrons’ level of monthly income on ICSs usage</w:t>
      </w:r>
    </w:p>
    <w:p w:rsidR="00912D6E" w:rsidRPr="00912D6E" w:rsidRDefault="00F51771" w:rsidP="003849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in Table </w:t>
      </w:r>
      <w:r w:rsidR="00384943">
        <w:rPr>
          <w:rFonts w:ascii="Times New Roman" w:hAnsi="Times New Roman" w:cs="Times New Roman"/>
          <w:sz w:val="24"/>
          <w:szCs w:val="24"/>
        </w:rPr>
        <w:t>5 presents the s</w:t>
      </w:r>
      <w:r w:rsidR="00384943" w:rsidRPr="00912D6E">
        <w:rPr>
          <w:rFonts w:ascii="Times New Roman" w:hAnsi="Times New Roman" w:cs="Times New Roman"/>
          <w:sz w:val="24"/>
          <w:szCs w:val="24"/>
        </w:rPr>
        <w:t>ummaries of the results</w:t>
      </w:r>
      <w:r w:rsidR="00384943">
        <w:rPr>
          <w:rFonts w:ascii="Times New Roman" w:hAnsi="Times New Roman" w:cs="Times New Roman"/>
          <w:sz w:val="24"/>
          <w:szCs w:val="24"/>
        </w:rPr>
        <w:t xml:space="preserve"> </w:t>
      </w:r>
      <w:r w:rsidR="00384943" w:rsidRPr="00912D6E">
        <w:rPr>
          <w:rFonts w:ascii="Times New Roman" w:hAnsi="Times New Roman" w:cs="Times New Roman"/>
          <w:sz w:val="24"/>
          <w:szCs w:val="24"/>
        </w:rPr>
        <w:t>of one-way analysis of variance</w:t>
      </w:r>
      <w:r w:rsidR="00384943">
        <w:rPr>
          <w:rFonts w:ascii="Times New Roman" w:hAnsi="Times New Roman" w:cs="Times New Roman"/>
          <w:sz w:val="24"/>
          <w:szCs w:val="24"/>
        </w:rPr>
        <w:t xml:space="preserve"> (ANOVA) which establishes the influence of patrons’ </w:t>
      </w:r>
      <w:r w:rsidR="00384943" w:rsidRPr="00912D6E">
        <w:rPr>
          <w:rFonts w:ascii="Times New Roman" w:hAnsi="Times New Roman" w:cs="Times New Roman"/>
          <w:sz w:val="24"/>
          <w:szCs w:val="24"/>
        </w:rPr>
        <w:t>level of monthly income</w:t>
      </w:r>
      <w:r w:rsidR="00384943">
        <w:rPr>
          <w:rFonts w:ascii="Times New Roman" w:hAnsi="Times New Roman" w:cs="Times New Roman"/>
          <w:sz w:val="24"/>
          <w:szCs w:val="24"/>
        </w:rPr>
        <w:t xml:space="preserve"> on their ICSs usage or patronage</w:t>
      </w:r>
      <w:r w:rsidR="00384943" w:rsidRPr="00912D6E">
        <w:rPr>
          <w:rFonts w:ascii="Times New Roman" w:hAnsi="Times New Roman" w:cs="Times New Roman"/>
          <w:sz w:val="24"/>
          <w:szCs w:val="24"/>
        </w:rPr>
        <w:t>.</w:t>
      </w:r>
      <w:r w:rsidR="00384943">
        <w:rPr>
          <w:rFonts w:ascii="Times New Roman" w:hAnsi="Times New Roman" w:cs="Times New Roman"/>
          <w:sz w:val="24"/>
          <w:szCs w:val="24"/>
        </w:rPr>
        <w:t xml:space="preserve"> </w:t>
      </w:r>
      <w:r>
        <w:rPr>
          <w:rFonts w:ascii="Times New Roman" w:hAnsi="Times New Roman" w:cs="Times New Roman"/>
          <w:sz w:val="24"/>
          <w:szCs w:val="24"/>
        </w:rPr>
        <w:t xml:space="preserve">Data in Table </w:t>
      </w:r>
      <w:r w:rsidR="00912D6E" w:rsidRPr="00912D6E">
        <w:rPr>
          <w:rFonts w:ascii="Times New Roman" w:hAnsi="Times New Roman" w:cs="Times New Roman"/>
          <w:sz w:val="24"/>
          <w:szCs w:val="24"/>
        </w:rPr>
        <w:t xml:space="preserve">5 show that at .05 level of significance and degrees of freedom 5 and 561, the critical F-ratio was 3.02. The calculated F-ratios obtained in establishing the influence of monthly income on ICS usage were as follows: usage of rotatory savings, F = 11.71 (P &lt; .05); usage of fixed savings, F = 4.80 (P &lt; .05); usage of mobile bankers, F = 4.10 (P &lt; .05); usage of individual money lenders, F = 5.35 (P &lt; .05). The calculated F-ratios were seen to be greater than the critical F-ratio in all the categories of ICS (rotatory, fixed, mobile bankers and individual money lenders), leading to the conclusion that patrons’ level of monthly income significantly influences and determines their usage of the various forms of informal credit groups in the study area. </w:t>
      </w:r>
    </w:p>
    <w:p w:rsidR="00912D6E" w:rsidRPr="00912D6E" w:rsidRDefault="00F51771" w:rsidP="00D1663C">
      <w:pPr>
        <w:spacing w:after="0" w:line="240" w:lineRule="auto"/>
        <w:ind w:left="1260" w:hanging="1260"/>
        <w:rPr>
          <w:rFonts w:ascii="Times New Roman" w:hAnsi="Times New Roman" w:cs="Times New Roman"/>
          <w:b/>
          <w:sz w:val="24"/>
          <w:szCs w:val="24"/>
        </w:rPr>
      </w:pPr>
      <w:r>
        <w:rPr>
          <w:rFonts w:ascii="Times New Roman" w:hAnsi="Times New Roman" w:cs="Times New Roman"/>
          <w:b/>
          <w:sz w:val="24"/>
          <w:szCs w:val="24"/>
        </w:rPr>
        <w:t xml:space="preserve">Table </w:t>
      </w:r>
      <w:r w:rsidR="00912D6E" w:rsidRPr="00912D6E">
        <w:rPr>
          <w:rFonts w:ascii="Times New Roman" w:hAnsi="Times New Roman" w:cs="Times New Roman"/>
          <w:b/>
          <w:sz w:val="24"/>
          <w:szCs w:val="24"/>
        </w:rPr>
        <w:t>5: One Way-Analysis of Variance (ANOVA) of influence of monthly income on ICS usage</w:t>
      </w:r>
    </w:p>
    <w:p w:rsidR="00912D6E" w:rsidRPr="00912D6E" w:rsidRDefault="00912D6E" w:rsidP="00D1663C">
      <w:pPr>
        <w:spacing w:after="0" w:line="240" w:lineRule="auto"/>
        <w:rPr>
          <w:rFonts w:ascii="Times New Roman" w:hAnsi="Times New Roman" w:cs="Times New Roman"/>
          <w:b/>
          <w:sz w:val="24"/>
          <w:szCs w:val="24"/>
        </w:rPr>
      </w:pPr>
    </w:p>
    <w:tbl>
      <w:tblPr>
        <w:tblW w:w="8523" w:type="dxa"/>
        <w:tblLook w:val="04A0" w:firstRow="1" w:lastRow="0" w:firstColumn="1" w:lastColumn="0" w:noHBand="0" w:noVBand="1"/>
      </w:tblPr>
      <w:tblGrid>
        <w:gridCol w:w="1896"/>
        <w:gridCol w:w="1812"/>
        <w:gridCol w:w="1676"/>
        <w:gridCol w:w="627"/>
        <w:gridCol w:w="984"/>
        <w:gridCol w:w="895"/>
        <w:gridCol w:w="633"/>
      </w:tblGrid>
      <w:tr w:rsidR="00912D6E" w:rsidRPr="00D1663C" w:rsidTr="00912D6E">
        <w:trPr>
          <w:trHeight w:val="315"/>
        </w:trPr>
        <w:tc>
          <w:tcPr>
            <w:tcW w:w="1896"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Informal credit system</w:t>
            </w:r>
          </w:p>
        </w:tc>
        <w:tc>
          <w:tcPr>
            <w:tcW w:w="1812"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Source of variation</w:t>
            </w:r>
          </w:p>
        </w:tc>
        <w:tc>
          <w:tcPr>
            <w:tcW w:w="1676"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SS</w:t>
            </w:r>
          </w:p>
        </w:tc>
        <w:tc>
          <w:tcPr>
            <w:tcW w:w="627"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proofErr w:type="spellStart"/>
            <w:r w:rsidRPr="00D1663C">
              <w:rPr>
                <w:rFonts w:ascii="Times New Roman" w:hAnsi="Times New Roman" w:cs="Times New Roman"/>
                <w:b/>
                <w:color w:val="000000"/>
              </w:rPr>
              <w:t>df</w:t>
            </w:r>
            <w:proofErr w:type="spellEnd"/>
          </w:p>
        </w:tc>
        <w:tc>
          <w:tcPr>
            <w:tcW w:w="984"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MS</w:t>
            </w:r>
          </w:p>
        </w:tc>
        <w:tc>
          <w:tcPr>
            <w:tcW w:w="895"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F</w:t>
            </w:r>
          </w:p>
        </w:tc>
        <w:tc>
          <w:tcPr>
            <w:tcW w:w="633"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Sig.</w:t>
            </w: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Rotatory saving</w:t>
            </w: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55.16</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11.03</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11.71*</w:t>
            </w: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528.37</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561</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0.94</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583.53</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Fixed saving</w:t>
            </w: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25.89</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5.18</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4.80*</w:t>
            </w: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605.54</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561</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1.08</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631.43</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Mobile bankers</w:t>
            </w: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19.86</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3.97</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4.10*</w:t>
            </w: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.001</w:t>
            </w: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543.74</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561</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0.97</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563.59</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Individual money lenders</w:t>
            </w: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39.92</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7.98</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5.35*</w:t>
            </w: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836.51</w:t>
            </w:r>
          </w:p>
        </w:tc>
        <w:tc>
          <w:tcPr>
            <w:tcW w:w="62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561</w:t>
            </w:r>
          </w:p>
        </w:tc>
        <w:tc>
          <w:tcPr>
            <w:tcW w:w="98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1.49</w:t>
            </w:r>
          </w:p>
        </w:tc>
        <w:tc>
          <w:tcPr>
            <w:tcW w:w="895"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633"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189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12"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67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876.44</w:t>
            </w:r>
          </w:p>
        </w:tc>
        <w:tc>
          <w:tcPr>
            <w:tcW w:w="627"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84"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895"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633"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15"/>
        </w:trPr>
        <w:tc>
          <w:tcPr>
            <w:tcW w:w="6011" w:type="dxa"/>
            <w:gridSpan w:val="4"/>
            <w:tcBorders>
              <w:top w:val="single" w:sz="4" w:space="0" w:color="auto"/>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Source: Field data (2017)  *p&lt;.05; df5&amp;561; critical F 2.23</w:t>
            </w:r>
          </w:p>
        </w:tc>
        <w:tc>
          <w:tcPr>
            <w:tcW w:w="984" w:type="dxa"/>
            <w:tcBorders>
              <w:top w:val="single" w:sz="4" w:space="0" w:color="auto"/>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rPr>
            </w:pPr>
          </w:p>
        </w:tc>
        <w:tc>
          <w:tcPr>
            <w:tcW w:w="895" w:type="dxa"/>
            <w:tcBorders>
              <w:top w:val="single" w:sz="4" w:space="0" w:color="auto"/>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rPr>
            </w:pPr>
          </w:p>
        </w:tc>
        <w:tc>
          <w:tcPr>
            <w:tcW w:w="633" w:type="dxa"/>
            <w:tcBorders>
              <w:top w:val="single" w:sz="4" w:space="0" w:color="auto"/>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rPr>
            </w:pPr>
          </w:p>
        </w:tc>
      </w:tr>
    </w:tbl>
    <w:p w:rsidR="00D1663C" w:rsidRDefault="00D1663C"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lastRenderedPageBreak/>
        <w:t>Having obtained significant F-ratios in all the categories of informal credit systems, a post-hoc test was carried out using Least Significant Difference Multiple Comparison Test. This was to ascertain the groups where the significance occurred by pair-wise comparison of six categories of monthly income of patrons of informal credit group. The re</w:t>
      </w:r>
      <w:r w:rsidR="00F51771">
        <w:rPr>
          <w:rFonts w:ascii="Times New Roman" w:hAnsi="Times New Roman" w:cs="Times New Roman"/>
          <w:sz w:val="24"/>
          <w:szCs w:val="24"/>
        </w:rPr>
        <w:t xml:space="preserve">sults are presented in Table </w:t>
      </w:r>
      <w:r w:rsidRPr="00912D6E">
        <w:rPr>
          <w:rFonts w:ascii="Times New Roman" w:hAnsi="Times New Roman" w:cs="Times New Roman"/>
          <w:sz w:val="24"/>
          <w:szCs w:val="24"/>
        </w:rPr>
        <w:t>6.</w:t>
      </w: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F51771" w:rsidP="00912D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in Table </w:t>
      </w:r>
      <w:r w:rsidR="00912D6E" w:rsidRPr="00912D6E">
        <w:rPr>
          <w:rFonts w:ascii="Times New Roman" w:hAnsi="Times New Roman" w:cs="Times New Roman"/>
          <w:sz w:val="24"/>
          <w:szCs w:val="24"/>
        </w:rPr>
        <w:t xml:space="preserve">6 further show that with regard to rotatory savings, the comparison of patrons of informal credit groups whose monthly income was less than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20,000 with those of other monthly income levels: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20,000 -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40,000;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41,000 -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60,000;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61,000 -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80,000;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81,000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100,000; and above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100,000 all showed a significant mean difference. This means that patrons in the two categories of comparison group differed in their usage of rotatory savings. The comparison of patrons with monthly income of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20,000 -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40,000 with other categories of monthly income showed insignificant mean difference in patrons with income level of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41,000 -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60,000,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81,000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100,000, and above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100,000, but showed significance in patrons with income level of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61,000 -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80,000. This indicates that respondents in the two categories differ in their usage of rotatory saving at income level of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61</w:t>
      </w:r>
      <w:proofErr w:type="gramStart"/>
      <w:r w:rsidR="00912D6E" w:rsidRPr="00912D6E">
        <w:rPr>
          <w:rFonts w:ascii="Times New Roman" w:hAnsi="Times New Roman" w:cs="Times New Roman"/>
          <w:sz w:val="24"/>
          <w:szCs w:val="24"/>
        </w:rPr>
        <w:t>,000</w:t>
      </w:r>
      <w:proofErr w:type="gramEnd"/>
      <w:r w:rsidR="00912D6E" w:rsidRPr="00912D6E">
        <w:rPr>
          <w:rFonts w:ascii="Times New Roman" w:hAnsi="Times New Roman" w:cs="Times New Roman"/>
          <w:sz w:val="24"/>
          <w:szCs w:val="24"/>
        </w:rPr>
        <w:t xml:space="preserve"> - </w:t>
      </w:r>
      <w:r w:rsidR="00912D6E" w:rsidRPr="00912D6E">
        <w:rPr>
          <w:rFonts w:ascii="Times New Roman" w:hAnsi="Times New Roman" w:cs="Times New Roman"/>
          <w:dstrike/>
          <w:sz w:val="24"/>
          <w:szCs w:val="24"/>
        </w:rPr>
        <w:t>N</w:t>
      </w:r>
      <w:r w:rsidR="00912D6E" w:rsidRPr="00912D6E">
        <w:rPr>
          <w:rFonts w:ascii="Times New Roman" w:hAnsi="Times New Roman" w:cs="Times New Roman"/>
          <w:sz w:val="24"/>
          <w:szCs w:val="24"/>
        </w:rPr>
        <w:t xml:space="preserve">80,000, but do not differ in their usage in other levels of monthly income. </w:t>
      </w: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Also, comparison of patrons with monthly income of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41,000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60,000 with other categories of monthly income showed a significant difference in patrons with income level of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80,000, but indicated no significant difference with other income level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and above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This means that they differ in their usage only at income level of </w:t>
      </w:r>
      <w:r w:rsidRPr="00912D6E">
        <w:rPr>
          <w:rFonts w:ascii="Times New Roman" w:hAnsi="Times New Roman" w:cs="Times New Roman"/>
          <w:dstrike/>
          <w:sz w:val="24"/>
          <w:szCs w:val="24"/>
        </w:rPr>
        <w:t>N</w:t>
      </w:r>
      <w:r w:rsidRPr="00912D6E">
        <w:rPr>
          <w:rFonts w:ascii="Times New Roman" w:hAnsi="Times New Roman" w:cs="Times New Roman"/>
          <w:sz w:val="24"/>
          <w:szCs w:val="24"/>
        </w:rPr>
        <w:t>61</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but do not differ in other income categories. However, the mean difference between patrons whose income level was within the range of </w:t>
      </w:r>
      <w:r w:rsidRPr="00912D6E">
        <w:rPr>
          <w:rFonts w:ascii="Times New Roman" w:hAnsi="Times New Roman" w:cs="Times New Roman"/>
          <w:dstrike/>
          <w:sz w:val="24"/>
          <w:szCs w:val="24"/>
        </w:rPr>
        <w:t>N</w:t>
      </w:r>
      <w:r w:rsidRPr="00912D6E">
        <w:rPr>
          <w:rFonts w:ascii="Times New Roman" w:hAnsi="Times New Roman" w:cs="Times New Roman"/>
          <w:sz w:val="24"/>
          <w:szCs w:val="24"/>
        </w:rPr>
        <w:t>61</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with other income </w:t>
      </w:r>
      <w:r w:rsidRPr="00912D6E">
        <w:rPr>
          <w:rFonts w:ascii="Times New Roman" w:hAnsi="Times New Roman" w:cs="Times New Roman"/>
          <w:sz w:val="24"/>
          <w:szCs w:val="24"/>
        </w:rPr>
        <w:lastRenderedPageBreak/>
        <w:t>categories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and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and above) showed no difference in their usage of rotatory saving as a form of ICS. The level of income comparison between patrons who earned </w:t>
      </w:r>
      <w:r w:rsidRPr="00912D6E">
        <w:rPr>
          <w:rFonts w:ascii="Times New Roman" w:hAnsi="Times New Roman" w:cs="Times New Roman"/>
          <w:dstrike/>
          <w:sz w:val="24"/>
          <w:szCs w:val="24"/>
        </w:rPr>
        <w:t>N</w:t>
      </w:r>
      <w:r w:rsidRPr="00912D6E">
        <w:rPr>
          <w:rFonts w:ascii="Times New Roman" w:hAnsi="Times New Roman" w:cs="Times New Roman"/>
          <w:sz w:val="24"/>
          <w:szCs w:val="24"/>
        </w:rPr>
        <w:t>81</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with those who earned </w:t>
      </w:r>
      <w:r w:rsidRPr="00912D6E">
        <w:rPr>
          <w:rFonts w:ascii="Times New Roman" w:hAnsi="Times New Roman" w:cs="Times New Roman"/>
          <w:dstrike/>
          <w:sz w:val="24"/>
          <w:szCs w:val="24"/>
        </w:rPr>
        <w:t>N</w:t>
      </w:r>
      <w:r w:rsidRPr="00912D6E">
        <w:rPr>
          <w:rFonts w:ascii="Times New Roman" w:hAnsi="Times New Roman" w:cs="Times New Roman"/>
          <w:sz w:val="24"/>
          <w:szCs w:val="24"/>
        </w:rPr>
        <w:t>100,000 and above also showed no significant difference. This suggests that patrons within these categories of income level were not different in their usage of rotatory savings.</w:t>
      </w: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Regarding fixed savings, the result of the LSD multiple comparison test for patrons with less than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20,000 monthly income with those whose monthly income fell within the income range of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and those above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was significant. This showed that patrons in both categories were different in their usage of fixed savings as a form of informal credit systems. However, the result showed an insignificant mean difference between patrons whose monthly income fell below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20,000 and patrons who earned within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20,000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40,000,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41,000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60,000, and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This insignificant mean difference showed that patrons in both categories were not different in their usage of fixed savings. The result further revealed that LSD multiple comparison test of patrons who had   </w:t>
      </w:r>
      <w:r w:rsidRPr="00912D6E">
        <w:rPr>
          <w:rFonts w:ascii="Times New Roman" w:hAnsi="Times New Roman" w:cs="Times New Roman"/>
          <w:dstrike/>
          <w:sz w:val="24"/>
          <w:szCs w:val="24"/>
        </w:rPr>
        <w:t>N</w:t>
      </w:r>
      <w:r w:rsidRPr="00912D6E">
        <w:rPr>
          <w:rFonts w:ascii="Times New Roman" w:hAnsi="Times New Roman" w:cs="Times New Roman"/>
          <w:sz w:val="24"/>
          <w:szCs w:val="24"/>
        </w:rPr>
        <w:t>20</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40,000 as their monthly income and those whose monthly income was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and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and above was significant. This further indicates that both comparison groups differ significantly in their usage of fixed savings. But the result showed an insignificant difference with patrons whose income level fell within </w:t>
      </w:r>
      <w:r w:rsidRPr="00912D6E">
        <w:rPr>
          <w:rFonts w:ascii="Times New Roman" w:hAnsi="Times New Roman" w:cs="Times New Roman"/>
          <w:dstrike/>
          <w:sz w:val="24"/>
          <w:szCs w:val="24"/>
        </w:rPr>
        <w:t>N</w:t>
      </w:r>
      <w:r w:rsidRPr="00912D6E">
        <w:rPr>
          <w:rFonts w:ascii="Times New Roman" w:hAnsi="Times New Roman" w:cs="Times New Roman"/>
          <w:sz w:val="24"/>
          <w:szCs w:val="24"/>
        </w:rPr>
        <w:t>41</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60,000 and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100,000. This means that ICS patrons do not differ in their usage of fixed saving as a form of informal credit systems in the study area.</w:t>
      </w: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F51771" w:rsidP="00912D6E">
      <w:pPr>
        <w:ind w:left="1350" w:hanging="1350"/>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912D6E" w:rsidRPr="00912D6E">
        <w:rPr>
          <w:rFonts w:ascii="Times New Roman" w:hAnsi="Times New Roman" w:cs="Times New Roman"/>
          <w:b/>
          <w:sz w:val="24"/>
          <w:szCs w:val="24"/>
        </w:rPr>
        <w:t>6: Least Significant Difference multiple comparison test of influence of    monthly income on ICS usage</w:t>
      </w:r>
    </w:p>
    <w:tbl>
      <w:tblPr>
        <w:tblW w:w="8919" w:type="dxa"/>
        <w:tblLook w:val="04A0" w:firstRow="1" w:lastRow="0" w:firstColumn="1" w:lastColumn="0" w:noHBand="0" w:noVBand="1"/>
      </w:tblPr>
      <w:tblGrid>
        <w:gridCol w:w="2217"/>
        <w:gridCol w:w="1895"/>
        <w:gridCol w:w="1907"/>
        <w:gridCol w:w="1906"/>
        <w:gridCol w:w="994"/>
      </w:tblGrid>
      <w:tr w:rsidR="00912D6E" w:rsidRPr="00D1663C" w:rsidTr="00912D6E">
        <w:trPr>
          <w:trHeight w:val="300"/>
        </w:trPr>
        <w:tc>
          <w:tcPr>
            <w:tcW w:w="2217"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Informal credit system</w:t>
            </w:r>
          </w:p>
        </w:tc>
        <w:tc>
          <w:tcPr>
            <w:tcW w:w="1895"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Comparison group (I)</w:t>
            </w:r>
          </w:p>
        </w:tc>
        <w:tc>
          <w:tcPr>
            <w:tcW w:w="1907"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Comparison group (J)</w:t>
            </w:r>
          </w:p>
        </w:tc>
        <w:tc>
          <w:tcPr>
            <w:tcW w:w="1906"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Mean Difference (I-J)</w:t>
            </w:r>
          </w:p>
        </w:tc>
        <w:tc>
          <w:tcPr>
            <w:tcW w:w="994"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Sig.</w:t>
            </w:r>
          </w:p>
        </w:tc>
      </w:tr>
      <w:tr w:rsidR="00912D6E" w:rsidRPr="00D1663C" w:rsidTr="00912D6E">
        <w:trPr>
          <w:trHeight w:val="300"/>
        </w:trPr>
        <w:tc>
          <w:tcPr>
            <w:tcW w:w="2217"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rPr>
            </w:pPr>
          </w:p>
        </w:tc>
        <w:tc>
          <w:tcPr>
            <w:tcW w:w="1906"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rPr>
            </w:pPr>
          </w:p>
        </w:tc>
        <w:tc>
          <w:tcPr>
            <w:tcW w:w="994" w:type="dxa"/>
            <w:tcBorders>
              <w:top w:val="nil"/>
              <w:left w:val="nil"/>
              <w:bottom w:val="nil"/>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Rotatory saving</w:t>
            </w: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Less than 20,000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20,000-40,000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.44150</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.001</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41,000-60,000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.62675</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.89358</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.73692</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.98182</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.002</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20,000-40,000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41,000-60,000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.18525</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.123</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.45209</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.29542</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.072</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.54032</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.091</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41,000-60,000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.26684</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.023</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.11017</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.495</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.35507</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.264</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-.15666</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.333</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.08824</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.782</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.24490</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.467</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Fixed saving</w:t>
            </w: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Less than 20,000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20,000-40,000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.03094</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.820</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41,000-60,000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.10632</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.424</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.30134</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.024</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.18219</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.308</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-1.25455</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20,000-40,000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41,000-60,000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.07539</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.558</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.27040</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.037</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.15125</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.389</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-1.28548</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41,000-60,000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.19501</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.121</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.07587</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.661</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-1.36087</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0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61,000-80,000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-.11915</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.492</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-1.55588</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60"/>
        </w:trPr>
        <w:tc>
          <w:tcPr>
            <w:tcW w:w="2217"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5"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81,000-100,000</w:t>
            </w:r>
          </w:p>
        </w:tc>
        <w:tc>
          <w:tcPr>
            <w:tcW w:w="1907"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100,000 and above</w:t>
            </w:r>
          </w:p>
        </w:tc>
        <w:tc>
          <w:tcPr>
            <w:tcW w:w="1906"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-1.43673</w:t>
            </w:r>
            <w:r w:rsidRPr="00D1663C">
              <w:rPr>
                <w:rFonts w:ascii="Times New Roman" w:hAnsi="Times New Roman" w:cs="Times New Roman"/>
                <w:color w:val="000000"/>
                <w:vertAlign w:val="superscript"/>
              </w:rPr>
              <w:t>*</w:t>
            </w:r>
          </w:p>
        </w:tc>
        <w:tc>
          <w:tcPr>
            <w:tcW w:w="994"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00"/>
        </w:trPr>
        <w:tc>
          <w:tcPr>
            <w:tcW w:w="8919" w:type="dxa"/>
            <w:gridSpan w:val="5"/>
            <w:tcBorders>
              <w:top w:val="single" w:sz="4" w:space="0" w:color="auto"/>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Source: Field data (2017) *. The mean difference is significant at 0.05 level of significance</w:t>
            </w:r>
          </w:p>
        </w:tc>
      </w:tr>
    </w:tbl>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The LSD multiple comparison test further showed insignificant mean difference between patrons with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41,000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60,000 and other patrons with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61,000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and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as their level of monthly income. This shows that respondents in the two categories do not </w:t>
      </w:r>
      <w:r w:rsidRPr="00912D6E">
        <w:rPr>
          <w:rFonts w:ascii="Times New Roman" w:hAnsi="Times New Roman" w:cs="Times New Roman"/>
          <w:sz w:val="24"/>
          <w:szCs w:val="24"/>
        </w:rPr>
        <w:lastRenderedPageBreak/>
        <w:t xml:space="preserve">significantly differ in their usage of fixed savings but significantly differed from patrons whose level of monthly income fell within </w:t>
      </w:r>
      <w:r w:rsidRPr="00912D6E">
        <w:rPr>
          <w:rFonts w:ascii="Times New Roman" w:hAnsi="Times New Roman" w:cs="Times New Roman"/>
          <w:dstrike/>
          <w:sz w:val="24"/>
          <w:szCs w:val="24"/>
        </w:rPr>
        <w:t>N</w:t>
      </w:r>
      <w:r w:rsidRPr="00912D6E">
        <w:rPr>
          <w:rFonts w:ascii="Times New Roman" w:hAnsi="Times New Roman" w:cs="Times New Roman"/>
          <w:sz w:val="24"/>
          <w:szCs w:val="24"/>
        </w:rPr>
        <w:t>100</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and above. Patrons whose level of income fell in the first comparison group (</w:t>
      </w:r>
      <w:r w:rsidRPr="00912D6E">
        <w:rPr>
          <w:rFonts w:ascii="Times New Roman" w:hAnsi="Times New Roman" w:cs="Times New Roman"/>
          <w:dstrike/>
          <w:sz w:val="24"/>
          <w:szCs w:val="24"/>
        </w:rPr>
        <w:t>N</w:t>
      </w:r>
      <w:r w:rsidRPr="00912D6E">
        <w:rPr>
          <w:rFonts w:ascii="Times New Roman" w:hAnsi="Times New Roman" w:cs="Times New Roman"/>
          <w:sz w:val="24"/>
          <w:szCs w:val="24"/>
        </w:rPr>
        <w:t>61</w:t>
      </w:r>
      <w:proofErr w:type="gramStart"/>
      <w:r w:rsidRPr="00912D6E">
        <w:rPr>
          <w:rFonts w:ascii="Times New Roman" w:hAnsi="Times New Roman" w:cs="Times New Roman"/>
          <w:sz w:val="24"/>
          <w:szCs w:val="24"/>
        </w:rPr>
        <w:t>,000</w:t>
      </w:r>
      <w:proofErr w:type="gramEnd"/>
      <w:r w:rsidRPr="00912D6E">
        <w:rPr>
          <w:rFonts w:ascii="Times New Roman" w:hAnsi="Times New Roman" w:cs="Times New Roman"/>
          <w:sz w:val="24"/>
          <w:szCs w:val="24"/>
        </w:rPr>
        <w:t xml:space="preserve">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80,000) did not differ from patrons whose level of income fell within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81,000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100,000, but differed significantly from respondents with income levels above 100,000. Finally, there is a significant difference when one compares patrons whose monthly income fell within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81, 000 – </w:t>
      </w:r>
      <w:r w:rsidRPr="00912D6E">
        <w:rPr>
          <w:rFonts w:ascii="Times New Roman" w:hAnsi="Times New Roman" w:cs="Times New Roman"/>
          <w:dstrike/>
          <w:sz w:val="24"/>
          <w:szCs w:val="24"/>
        </w:rPr>
        <w:t>N</w:t>
      </w:r>
      <w:r w:rsidRPr="00912D6E">
        <w:rPr>
          <w:rFonts w:ascii="Times New Roman" w:hAnsi="Times New Roman" w:cs="Times New Roman"/>
          <w:sz w:val="24"/>
          <w:szCs w:val="24"/>
        </w:rPr>
        <w:t xml:space="preserve">100, 000 and 100,000 and above. This is an indication that they do not differ in their usage of fixed saving as a form of informal credit systems.  </w:t>
      </w:r>
    </w:p>
    <w:p w:rsidR="00912D6E" w:rsidRPr="00912D6E" w:rsidRDefault="00912D6E" w:rsidP="00912D6E">
      <w:pPr>
        <w:ind w:left="810" w:hanging="810"/>
        <w:jc w:val="both"/>
        <w:rPr>
          <w:rFonts w:ascii="Times New Roman" w:hAnsi="Times New Roman" w:cs="Times New Roman"/>
          <w:b/>
          <w:sz w:val="24"/>
          <w:szCs w:val="24"/>
        </w:rPr>
      </w:pPr>
      <w:r w:rsidRPr="00912D6E">
        <w:rPr>
          <w:rFonts w:ascii="Times New Roman" w:hAnsi="Times New Roman" w:cs="Times New Roman"/>
          <w:b/>
          <w:sz w:val="24"/>
          <w:szCs w:val="24"/>
        </w:rPr>
        <w:t>The influence of patrons’ occupation on ICSs usage</w:t>
      </w:r>
    </w:p>
    <w:p w:rsidR="00912D6E" w:rsidRPr="00912D6E" w:rsidRDefault="00F51771" w:rsidP="0038494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in Table </w:t>
      </w:r>
      <w:r w:rsidR="00F87B7F">
        <w:rPr>
          <w:rFonts w:ascii="Times New Roman" w:hAnsi="Times New Roman" w:cs="Times New Roman"/>
          <w:sz w:val="24"/>
          <w:szCs w:val="24"/>
        </w:rPr>
        <w:t>7</w:t>
      </w:r>
      <w:r w:rsidR="00384943">
        <w:rPr>
          <w:rFonts w:ascii="Times New Roman" w:hAnsi="Times New Roman" w:cs="Times New Roman"/>
          <w:sz w:val="24"/>
          <w:szCs w:val="24"/>
        </w:rPr>
        <w:t xml:space="preserve"> presents the s</w:t>
      </w:r>
      <w:r w:rsidR="00384943" w:rsidRPr="00912D6E">
        <w:rPr>
          <w:rFonts w:ascii="Times New Roman" w:hAnsi="Times New Roman" w:cs="Times New Roman"/>
          <w:sz w:val="24"/>
          <w:szCs w:val="24"/>
        </w:rPr>
        <w:t>ummaries of the results</w:t>
      </w:r>
      <w:r w:rsidR="00384943">
        <w:rPr>
          <w:rFonts w:ascii="Times New Roman" w:hAnsi="Times New Roman" w:cs="Times New Roman"/>
          <w:sz w:val="24"/>
          <w:szCs w:val="24"/>
        </w:rPr>
        <w:t xml:space="preserve"> </w:t>
      </w:r>
      <w:r w:rsidR="00384943" w:rsidRPr="00912D6E">
        <w:rPr>
          <w:rFonts w:ascii="Times New Roman" w:hAnsi="Times New Roman" w:cs="Times New Roman"/>
          <w:sz w:val="24"/>
          <w:szCs w:val="24"/>
        </w:rPr>
        <w:t>of one-way analysis of variance</w:t>
      </w:r>
      <w:r w:rsidR="00384943">
        <w:rPr>
          <w:rFonts w:ascii="Times New Roman" w:hAnsi="Times New Roman" w:cs="Times New Roman"/>
          <w:sz w:val="24"/>
          <w:szCs w:val="24"/>
        </w:rPr>
        <w:t xml:space="preserve"> (ANOVA) which establishes the influence of patrons’ occupation on their ICSs usage or patronage</w:t>
      </w:r>
      <w:r w:rsidR="00384943" w:rsidRPr="00912D6E">
        <w:rPr>
          <w:rFonts w:ascii="Times New Roman" w:hAnsi="Times New Roman" w:cs="Times New Roman"/>
          <w:sz w:val="24"/>
          <w:szCs w:val="24"/>
        </w:rPr>
        <w:t>.</w:t>
      </w:r>
      <w:r w:rsidR="00384943">
        <w:rPr>
          <w:rFonts w:ascii="Times New Roman" w:hAnsi="Times New Roman" w:cs="Times New Roman"/>
          <w:sz w:val="24"/>
          <w:szCs w:val="24"/>
        </w:rPr>
        <w:t xml:space="preserve"> </w:t>
      </w:r>
      <w:r w:rsidR="00912D6E" w:rsidRPr="00912D6E">
        <w:rPr>
          <w:rFonts w:ascii="Times New Roman" w:hAnsi="Times New Roman" w:cs="Times New Roman"/>
          <w:sz w:val="24"/>
          <w:szCs w:val="24"/>
        </w:rPr>
        <w:t xml:space="preserve">Data in </w:t>
      </w:r>
      <w:r>
        <w:rPr>
          <w:rFonts w:ascii="Times New Roman" w:hAnsi="Times New Roman" w:cs="Times New Roman"/>
          <w:sz w:val="24"/>
          <w:szCs w:val="24"/>
        </w:rPr>
        <w:t xml:space="preserve">Table </w:t>
      </w:r>
      <w:r w:rsidR="00F87B7F">
        <w:rPr>
          <w:rFonts w:ascii="Times New Roman" w:hAnsi="Times New Roman" w:cs="Times New Roman"/>
          <w:sz w:val="24"/>
          <w:szCs w:val="24"/>
        </w:rPr>
        <w:t>7</w:t>
      </w:r>
      <w:r w:rsidR="00912D6E" w:rsidRPr="00912D6E">
        <w:rPr>
          <w:rFonts w:ascii="Times New Roman" w:hAnsi="Times New Roman" w:cs="Times New Roman"/>
          <w:sz w:val="24"/>
          <w:szCs w:val="24"/>
        </w:rPr>
        <w:t xml:space="preserve"> show that at .05 level of significance and degrees of freedom 4 and 562, the critical F-ratio is 2.23. The calculated F-ratios obtained in establishing the influence of occupation on ICS usage were as follows: usage of rotatory saving, F = 10.46 (P &lt; .05); usage of fixed savings, F = 9.91 (P &lt; .05); usage of mobile bankers, F = 10.99 (P &lt; .05); and usage of individual money lenders, F = 2.47 (P &lt; .05). The calculated F-ratios were seen to be greater than the critical F-ratio in all the categories of ICSs (rotatory, fixed, mobile bankers and individual money lenders), leading to the conclusion that patrons’ occupation significantly influences and determines their usage of the various forms of informal credit systems in the study area. </w:t>
      </w:r>
    </w:p>
    <w:p w:rsidR="00912D6E" w:rsidRPr="00912D6E" w:rsidRDefault="00F87B7F" w:rsidP="00912D6E">
      <w:pPr>
        <w:ind w:left="1350" w:hanging="1350"/>
        <w:jc w:val="both"/>
        <w:rPr>
          <w:rFonts w:ascii="Times New Roman" w:hAnsi="Times New Roman" w:cs="Times New Roman"/>
          <w:b/>
          <w:sz w:val="24"/>
          <w:szCs w:val="24"/>
        </w:rPr>
      </w:pPr>
      <w:r>
        <w:rPr>
          <w:rFonts w:ascii="Times New Roman" w:hAnsi="Times New Roman" w:cs="Times New Roman"/>
          <w:b/>
          <w:sz w:val="24"/>
          <w:szCs w:val="24"/>
        </w:rPr>
        <w:t>Table 7</w:t>
      </w:r>
      <w:r w:rsidR="00912D6E" w:rsidRPr="00912D6E">
        <w:rPr>
          <w:rFonts w:ascii="Times New Roman" w:hAnsi="Times New Roman" w:cs="Times New Roman"/>
          <w:b/>
          <w:sz w:val="24"/>
          <w:szCs w:val="24"/>
        </w:rPr>
        <w:t>: One-Way Analysis of Variance of influence of occupation on ICS usage</w:t>
      </w:r>
    </w:p>
    <w:tbl>
      <w:tblPr>
        <w:tblW w:w="8478" w:type="dxa"/>
        <w:tblLook w:val="04A0" w:firstRow="1" w:lastRow="0" w:firstColumn="1" w:lastColumn="0" w:noHBand="0" w:noVBand="1"/>
      </w:tblPr>
      <w:tblGrid>
        <w:gridCol w:w="1728"/>
        <w:gridCol w:w="1890"/>
        <w:gridCol w:w="1170"/>
        <w:gridCol w:w="810"/>
        <w:gridCol w:w="990"/>
        <w:gridCol w:w="990"/>
        <w:gridCol w:w="900"/>
      </w:tblGrid>
      <w:tr w:rsidR="00912D6E" w:rsidRPr="00D1663C" w:rsidTr="00912D6E">
        <w:trPr>
          <w:trHeight w:val="298"/>
        </w:trPr>
        <w:tc>
          <w:tcPr>
            <w:tcW w:w="1728"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Informal credit system</w:t>
            </w:r>
          </w:p>
        </w:tc>
        <w:tc>
          <w:tcPr>
            <w:tcW w:w="189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Source of variation</w:t>
            </w:r>
          </w:p>
        </w:tc>
        <w:tc>
          <w:tcPr>
            <w:tcW w:w="117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SS</w:t>
            </w:r>
          </w:p>
        </w:tc>
        <w:tc>
          <w:tcPr>
            <w:tcW w:w="81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proofErr w:type="spellStart"/>
            <w:r w:rsidRPr="00D1663C">
              <w:rPr>
                <w:rFonts w:ascii="Times New Roman" w:hAnsi="Times New Roman" w:cs="Times New Roman"/>
                <w:b/>
                <w:color w:val="000000"/>
              </w:rPr>
              <w:t>df</w:t>
            </w:r>
            <w:proofErr w:type="spellEnd"/>
          </w:p>
        </w:tc>
        <w:tc>
          <w:tcPr>
            <w:tcW w:w="99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MS</w:t>
            </w:r>
          </w:p>
        </w:tc>
        <w:tc>
          <w:tcPr>
            <w:tcW w:w="99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F</w:t>
            </w:r>
          </w:p>
        </w:tc>
        <w:tc>
          <w:tcPr>
            <w:tcW w:w="90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Sig.</w:t>
            </w: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Rotatory saving</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40.42</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10.11</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10.46*</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543.10</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562</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0.97</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583.53</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Fixed saving</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41.62</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10.40</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9.91*</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589.82</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562</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1.05</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631.43</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lastRenderedPageBreak/>
              <w:t>Mobile bankers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40.87</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10.22</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10.99*</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522.72</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562</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0.93</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563.59</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Individual money lenders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Between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15.14</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3.79</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2.47*</w:t>
            </w: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.044</w:t>
            </w:r>
          </w:p>
        </w:tc>
      </w:tr>
      <w:tr w:rsidR="00912D6E" w:rsidRPr="00D1663C" w:rsidTr="00912D6E">
        <w:trPr>
          <w:trHeight w:val="298"/>
        </w:trPr>
        <w:tc>
          <w:tcPr>
            <w:tcW w:w="1728"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Within Groups</w:t>
            </w:r>
          </w:p>
        </w:tc>
        <w:tc>
          <w:tcPr>
            <w:tcW w:w="117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861.30</w:t>
            </w:r>
          </w:p>
        </w:tc>
        <w:tc>
          <w:tcPr>
            <w:tcW w:w="81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562</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1.53</w:t>
            </w:r>
          </w:p>
        </w:tc>
        <w:tc>
          <w:tcPr>
            <w:tcW w:w="9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p>
        </w:tc>
        <w:tc>
          <w:tcPr>
            <w:tcW w:w="90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rPr>
            </w:pPr>
          </w:p>
        </w:tc>
      </w:tr>
      <w:tr w:rsidR="00912D6E" w:rsidRPr="00D1663C" w:rsidTr="00912D6E">
        <w:trPr>
          <w:trHeight w:val="298"/>
        </w:trPr>
        <w:tc>
          <w:tcPr>
            <w:tcW w:w="1728"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 </w:t>
            </w:r>
          </w:p>
        </w:tc>
        <w:tc>
          <w:tcPr>
            <w:tcW w:w="189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Total</w:t>
            </w:r>
          </w:p>
        </w:tc>
        <w:tc>
          <w:tcPr>
            <w:tcW w:w="117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876.44</w:t>
            </w:r>
          </w:p>
        </w:tc>
        <w:tc>
          <w:tcPr>
            <w:tcW w:w="81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566</w:t>
            </w:r>
          </w:p>
        </w:tc>
        <w:tc>
          <w:tcPr>
            <w:tcW w:w="99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 </w:t>
            </w:r>
          </w:p>
        </w:tc>
        <w:tc>
          <w:tcPr>
            <w:tcW w:w="99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 </w:t>
            </w:r>
          </w:p>
        </w:tc>
        <w:tc>
          <w:tcPr>
            <w:tcW w:w="90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 </w:t>
            </w:r>
          </w:p>
        </w:tc>
      </w:tr>
    </w:tbl>
    <w:p w:rsidR="00912D6E" w:rsidRPr="00912D6E" w:rsidRDefault="00912D6E" w:rsidP="00912D6E">
      <w:pPr>
        <w:rPr>
          <w:rFonts w:ascii="Times New Roman" w:hAnsi="Times New Roman" w:cs="Times New Roman"/>
          <w:sz w:val="24"/>
          <w:szCs w:val="24"/>
        </w:rPr>
      </w:pPr>
      <w:r w:rsidRPr="00912D6E">
        <w:rPr>
          <w:rFonts w:ascii="Times New Roman" w:hAnsi="Times New Roman" w:cs="Times New Roman"/>
          <w:color w:val="000000"/>
          <w:sz w:val="24"/>
          <w:szCs w:val="24"/>
        </w:rPr>
        <w:t>Source: Field data (2017</w:t>
      </w:r>
      <w:proofErr w:type="gramStart"/>
      <w:r w:rsidRPr="00912D6E">
        <w:rPr>
          <w:rFonts w:ascii="Times New Roman" w:hAnsi="Times New Roman" w:cs="Times New Roman"/>
          <w:color w:val="000000"/>
          <w:sz w:val="24"/>
          <w:szCs w:val="24"/>
        </w:rPr>
        <w:t>)  *</w:t>
      </w:r>
      <w:proofErr w:type="gramEnd"/>
      <w:r w:rsidRPr="00912D6E">
        <w:rPr>
          <w:rFonts w:ascii="Times New Roman" w:hAnsi="Times New Roman" w:cs="Times New Roman"/>
          <w:color w:val="000000"/>
          <w:sz w:val="24"/>
          <w:szCs w:val="24"/>
        </w:rPr>
        <w:t>p&lt;.05; df5&amp;562; critical F = 2.23</w:t>
      </w: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t xml:space="preserve">Having obtained significant F-ratios in all the categories of informal credit systems, a post-hoc test was carried out using Least Significant Difference Multiple Comparison Test on only rotatory savings and fixed savings which were the dominant categories of interest in this study. This was to ascertain what groups the significance occurred by conducting a pair-wise comparison of the five categories of occupation notable among ICSs patrons. The </w:t>
      </w:r>
      <w:r w:rsidR="00F51771">
        <w:rPr>
          <w:rFonts w:ascii="Times New Roman" w:hAnsi="Times New Roman" w:cs="Times New Roman"/>
          <w:sz w:val="24"/>
          <w:szCs w:val="24"/>
        </w:rPr>
        <w:t xml:space="preserve">result is presented in Table </w:t>
      </w:r>
      <w:r w:rsidR="00F87B7F">
        <w:rPr>
          <w:rFonts w:ascii="Times New Roman" w:hAnsi="Times New Roman" w:cs="Times New Roman"/>
          <w:sz w:val="24"/>
          <w:szCs w:val="24"/>
        </w:rPr>
        <w:t>8</w:t>
      </w:r>
      <w:r w:rsidRPr="00912D6E">
        <w:rPr>
          <w:rFonts w:ascii="Times New Roman" w:hAnsi="Times New Roman" w:cs="Times New Roman"/>
          <w:sz w:val="24"/>
          <w:szCs w:val="24"/>
        </w:rPr>
        <w:t>.</w:t>
      </w:r>
    </w:p>
    <w:p w:rsidR="00912D6E" w:rsidRPr="00912D6E" w:rsidRDefault="00912D6E" w:rsidP="00912D6E">
      <w:pPr>
        <w:jc w:val="both"/>
        <w:rPr>
          <w:rFonts w:ascii="Times New Roman" w:hAnsi="Times New Roman" w:cs="Times New Roman"/>
          <w:sz w:val="24"/>
          <w:szCs w:val="24"/>
        </w:rPr>
      </w:pPr>
    </w:p>
    <w:p w:rsidR="00912D6E" w:rsidRPr="00912D6E" w:rsidRDefault="00F51771" w:rsidP="00F51771">
      <w:pPr>
        <w:ind w:left="990" w:hanging="990"/>
        <w:jc w:val="both"/>
        <w:rPr>
          <w:rFonts w:ascii="Times New Roman" w:hAnsi="Times New Roman" w:cs="Times New Roman"/>
          <w:b/>
          <w:sz w:val="24"/>
          <w:szCs w:val="24"/>
        </w:rPr>
      </w:pPr>
      <w:r>
        <w:rPr>
          <w:rFonts w:ascii="Times New Roman" w:hAnsi="Times New Roman" w:cs="Times New Roman"/>
          <w:b/>
          <w:sz w:val="24"/>
          <w:szCs w:val="24"/>
        </w:rPr>
        <w:t xml:space="preserve">Table </w:t>
      </w:r>
      <w:r w:rsidR="00F87B7F">
        <w:rPr>
          <w:rFonts w:ascii="Times New Roman" w:hAnsi="Times New Roman" w:cs="Times New Roman"/>
          <w:b/>
          <w:sz w:val="24"/>
          <w:szCs w:val="24"/>
        </w:rPr>
        <w:t>8</w:t>
      </w:r>
      <w:r w:rsidR="00912D6E" w:rsidRPr="00912D6E">
        <w:rPr>
          <w:rFonts w:ascii="Times New Roman" w:hAnsi="Times New Roman" w:cs="Times New Roman"/>
          <w:b/>
          <w:sz w:val="24"/>
          <w:szCs w:val="24"/>
        </w:rPr>
        <w:t>: Least Significant Difference multiple comparison test of influence of occupation on ICS usage</w:t>
      </w:r>
    </w:p>
    <w:tbl>
      <w:tblPr>
        <w:tblW w:w="8478" w:type="dxa"/>
        <w:tblLook w:val="04A0" w:firstRow="1" w:lastRow="0" w:firstColumn="1" w:lastColumn="0" w:noHBand="0" w:noVBand="1"/>
      </w:tblPr>
      <w:tblGrid>
        <w:gridCol w:w="1998"/>
        <w:gridCol w:w="1710"/>
        <w:gridCol w:w="1620"/>
        <w:gridCol w:w="1890"/>
        <w:gridCol w:w="1260"/>
      </w:tblGrid>
      <w:tr w:rsidR="00912D6E" w:rsidRPr="00D1663C" w:rsidTr="00912D6E">
        <w:trPr>
          <w:trHeight w:val="297"/>
        </w:trPr>
        <w:tc>
          <w:tcPr>
            <w:tcW w:w="1998"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Informal credit system</w:t>
            </w:r>
          </w:p>
        </w:tc>
        <w:tc>
          <w:tcPr>
            <w:tcW w:w="171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Comparison group (I)</w:t>
            </w:r>
          </w:p>
        </w:tc>
        <w:tc>
          <w:tcPr>
            <w:tcW w:w="162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b/>
                <w:color w:val="000000"/>
              </w:rPr>
            </w:pPr>
            <w:r w:rsidRPr="00D1663C">
              <w:rPr>
                <w:rFonts w:ascii="Times New Roman" w:hAnsi="Times New Roman" w:cs="Times New Roman"/>
                <w:b/>
                <w:color w:val="000000"/>
              </w:rPr>
              <w:t>Comparison group (J)</w:t>
            </w:r>
          </w:p>
        </w:tc>
        <w:tc>
          <w:tcPr>
            <w:tcW w:w="189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Mean Difference (I-J)</w:t>
            </w:r>
          </w:p>
        </w:tc>
        <w:tc>
          <w:tcPr>
            <w:tcW w:w="1260" w:type="dxa"/>
            <w:tcBorders>
              <w:top w:val="single" w:sz="4" w:space="0" w:color="auto"/>
              <w:left w:val="nil"/>
              <w:bottom w:val="single" w:sz="4" w:space="0" w:color="auto"/>
              <w:right w:val="nil"/>
            </w:tcBorders>
            <w:shd w:val="clear" w:color="auto" w:fill="auto"/>
            <w:noWrap/>
            <w:vAlign w:val="bottom"/>
            <w:hideMark/>
          </w:tcPr>
          <w:p w:rsidR="00912D6E" w:rsidRPr="00D1663C" w:rsidRDefault="00912D6E" w:rsidP="00D1663C">
            <w:pPr>
              <w:spacing w:after="0" w:line="240" w:lineRule="auto"/>
              <w:jc w:val="center"/>
              <w:rPr>
                <w:rFonts w:ascii="Times New Roman" w:hAnsi="Times New Roman" w:cs="Times New Roman"/>
                <w:b/>
                <w:color w:val="000000"/>
              </w:rPr>
            </w:pPr>
            <w:r w:rsidRPr="00D1663C">
              <w:rPr>
                <w:rFonts w:ascii="Times New Roman" w:hAnsi="Times New Roman" w:cs="Times New Roman"/>
                <w:b/>
                <w:color w:val="000000"/>
              </w:rPr>
              <w:t>Sig.</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Rotatory saving</w:t>
            </w: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Farmer</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Petty trader</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.11189</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.348</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Craftsman</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.54138</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.59160</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.62637</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Petty trader</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Craftsman</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.42949</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.002</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.47971</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.51449</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.001</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Craftsman</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.05022</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.713</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.08499</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.609</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.03477</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.813</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Fixed saving</w:t>
            </w: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Farmer</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Petty trader</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-.03077</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.804</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Craftsman</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.54567</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.55374</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.39658</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.012</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Petty trader</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Craftsman</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.57644</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.58451</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.000</w:t>
            </w:r>
          </w:p>
        </w:tc>
      </w:tr>
      <w:tr w:rsidR="00912D6E" w:rsidRPr="00D1663C" w:rsidTr="00912D6E">
        <w:trPr>
          <w:trHeight w:val="356"/>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.42735</w:t>
            </w:r>
            <w:r w:rsidRPr="00D1663C">
              <w:rPr>
                <w:rFonts w:ascii="Times New Roman" w:hAnsi="Times New Roman" w:cs="Times New Roman"/>
                <w:color w:val="000000"/>
                <w:vertAlign w:val="superscript"/>
              </w:rPr>
              <w:t>*</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.006</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Craftsman</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.00808</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.955</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rPr>
            </w:pP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-.14909</w:t>
            </w:r>
          </w:p>
        </w:tc>
        <w:tc>
          <w:tcPr>
            <w:tcW w:w="126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.389</w:t>
            </w:r>
          </w:p>
        </w:tc>
      </w:tr>
      <w:tr w:rsidR="00912D6E" w:rsidRPr="00D1663C" w:rsidTr="00912D6E">
        <w:trPr>
          <w:trHeight w:val="297"/>
        </w:trPr>
        <w:tc>
          <w:tcPr>
            <w:tcW w:w="1998" w:type="dxa"/>
            <w:tcBorders>
              <w:top w:val="nil"/>
              <w:left w:val="nil"/>
              <w:bottom w:val="nil"/>
              <w:right w:val="nil"/>
            </w:tcBorders>
            <w:shd w:val="clear" w:color="auto" w:fill="auto"/>
            <w:noWrap/>
            <w:hideMark/>
          </w:tcPr>
          <w:p w:rsidR="00912D6E" w:rsidRPr="00D1663C" w:rsidRDefault="00912D6E" w:rsidP="00D1663C">
            <w:pPr>
              <w:spacing w:after="0" w:line="240" w:lineRule="auto"/>
              <w:jc w:val="right"/>
              <w:rPr>
                <w:rFonts w:ascii="Times New Roman" w:hAnsi="Times New Roman" w:cs="Times New Roman"/>
                <w:color w:val="000000"/>
              </w:rPr>
            </w:pPr>
          </w:p>
        </w:tc>
        <w:tc>
          <w:tcPr>
            <w:tcW w:w="171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Civil servant</w:t>
            </w:r>
          </w:p>
        </w:tc>
        <w:tc>
          <w:tcPr>
            <w:tcW w:w="1620" w:type="dxa"/>
            <w:tcBorders>
              <w:top w:val="nil"/>
              <w:left w:val="nil"/>
              <w:bottom w:val="nil"/>
              <w:right w:val="nil"/>
            </w:tcBorders>
            <w:shd w:val="clear" w:color="auto" w:fill="auto"/>
            <w:noWrap/>
            <w:hideMark/>
          </w:tcPr>
          <w:p w:rsidR="00912D6E" w:rsidRPr="00D1663C" w:rsidRDefault="00912D6E" w:rsidP="00D1663C">
            <w:pPr>
              <w:spacing w:after="0" w:line="240" w:lineRule="auto"/>
              <w:rPr>
                <w:rFonts w:ascii="Times New Roman" w:hAnsi="Times New Roman" w:cs="Times New Roman"/>
                <w:color w:val="000000"/>
              </w:rPr>
            </w:pPr>
            <w:r w:rsidRPr="00D1663C">
              <w:rPr>
                <w:rFonts w:ascii="Times New Roman" w:hAnsi="Times New Roman" w:cs="Times New Roman"/>
                <w:color w:val="000000"/>
              </w:rPr>
              <w:t>Others</w:t>
            </w:r>
          </w:p>
        </w:tc>
        <w:tc>
          <w:tcPr>
            <w:tcW w:w="1890" w:type="dxa"/>
            <w:tcBorders>
              <w:top w:val="nil"/>
              <w:left w:val="nil"/>
              <w:bottom w:val="nil"/>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-.15716</w:t>
            </w:r>
          </w:p>
        </w:tc>
        <w:tc>
          <w:tcPr>
            <w:tcW w:w="1260" w:type="dxa"/>
            <w:tcBorders>
              <w:top w:val="nil"/>
              <w:left w:val="nil"/>
              <w:bottom w:val="single" w:sz="4" w:space="0" w:color="auto"/>
              <w:right w:val="nil"/>
            </w:tcBorders>
            <w:shd w:val="clear" w:color="auto" w:fill="auto"/>
            <w:noWrap/>
            <w:hideMark/>
          </w:tcPr>
          <w:p w:rsidR="00912D6E" w:rsidRPr="00D1663C" w:rsidRDefault="00912D6E" w:rsidP="00D1663C">
            <w:pPr>
              <w:spacing w:after="0" w:line="240" w:lineRule="auto"/>
              <w:jc w:val="center"/>
              <w:rPr>
                <w:rFonts w:ascii="Times New Roman" w:hAnsi="Times New Roman" w:cs="Times New Roman"/>
                <w:color w:val="000000"/>
              </w:rPr>
            </w:pPr>
            <w:r w:rsidRPr="00D1663C">
              <w:rPr>
                <w:rFonts w:ascii="Times New Roman" w:hAnsi="Times New Roman" w:cs="Times New Roman"/>
                <w:color w:val="000000"/>
              </w:rPr>
              <w:t>.306</w:t>
            </w:r>
          </w:p>
        </w:tc>
      </w:tr>
      <w:tr w:rsidR="00912D6E" w:rsidRPr="00D1663C" w:rsidTr="00912D6E">
        <w:trPr>
          <w:trHeight w:val="297"/>
        </w:trPr>
        <w:tc>
          <w:tcPr>
            <w:tcW w:w="7218" w:type="dxa"/>
            <w:gridSpan w:val="4"/>
            <w:tcBorders>
              <w:top w:val="single" w:sz="4" w:space="0" w:color="auto"/>
              <w:left w:val="nil"/>
              <w:bottom w:val="nil"/>
              <w:right w:val="nil"/>
            </w:tcBorders>
            <w:shd w:val="clear" w:color="auto" w:fill="auto"/>
            <w:noWrap/>
            <w:hideMark/>
          </w:tcPr>
          <w:p w:rsidR="00912D6E" w:rsidRPr="00D1663C" w:rsidRDefault="00912D6E" w:rsidP="00D1663C">
            <w:pPr>
              <w:spacing w:after="0" w:line="240" w:lineRule="auto"/>
              <w:ind w:left="810" w:hanging="810"/>
              <w:rPr>
                <w:rFonts w:ascii="Times New Roman" w:hAnsi="Times New Roman" w:cs="Times New Roman"/>
                <w:color w:val="000000"/>
              </w:rPr>
            </w:pPr>
            <w:r w:rsidRPr="00D1663C">
              <w:rPr>
                <w:rFonts w:ascii="Times New Roman" w:hAnsi="Times New Roman" w:cs="Times New Roman"/>
                <w:color w:val="000000"/>
              </w:rPr>
              <w:t xml:space="preserve">Source: Field data </w:t>
            </w:r>
            <w:r w:rsidR="00AC2444">
              <w:rPr>
                <w:rFonts w:ascii="Times New Roman" w:hAnsi="Times New Roman" w:cs="Times New Roman"/>
                <w:color w:val="000000"/>
              </w:rPr>
              <w:t>(2017)</w:t>
            </w:r>
            <w:proofErr w:type="gramStart"/>
            <w:r w:rsidR="00AC2444">
              <w:rPr>
                <w:rFonts w:ascii="Times New Roman" w:hAnsi="Times New Roman" w:cs="Times New Roman"/>
                <w:color w:val="000000"/>
              </w:rPr>
              <w:t>,  *</w:t>
            </w:r>
            <w:proofErr w:type="gramEnd"/>
            <w:r w:rsidRPr="00D1663C">
              <w:rPr>
                <w:rFonts w:ascii="Times New Roman" w:hAnsi="Times New Roman" w:cs="Times New Roman"/>
                <w:color w:val="000000"/>
              </w:rPr>
              <w:t xml:space="preserve"> The mean difference is significant at 0.05 level of significance.</w:t>
            </w:r>
          </w:p>
        </w:tc>
        <w:tc>
          <w:tcPr>
            <w:tcW w:w="1260" w:type="dxa"/>
            <w:tcBorders>
              <w:top w:val="single" w:sz="4" w:space="0" w:color="auto"/>
              <w:left w:val="nil"/>
              <w:bottom w:val="nil"/>
              <w:right w:val="nil"/>
            </w:tcBorders>
            <w:shd w:val="clear" w:color="auto" w:fill="auto"/>
            <w:noWrap/>
            <w:vAlign w:val="bottom"/>
            <w:hideMark/>
          </w:tcPr>
          <w:p w:rsidR="00912D6E" w:rsidRPr="00D1663C" w:rsidRDefault="00912D6E" w:rsidP="00D1663C">
            <w:pPr>
              <w:spacing w:after="0" w:line="240" w:lineRule="auto"/>
              <w:rPr>
                <w:rFonts w:ascii="Times New Roman" w:hAnsi="Times New Roman" w:cs="Times New Roman"/>
                <w:color w:val="000000"/>
              </w:rPr>
            </w:pPr>
          </w:p>
        </w:tc>
      </w:tr>
    </w:tbl>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F51771" w:rsidP="00912D6E">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w:t>
      </w:r>
      <w:r w:rsidR="00F87B7F">
        <w:rPr>
          <w:rFonts w:ascii="Times New Roman" w:hAnsi="Times New Roman" w:cs="Times New Roman"/>
          <w:sz w:val="24"/>
          <w:szCs w:val="24"/>
        </w:rPr>
        <w:t>8</w:t>
      </w:r>
      <w:r w:rsidR="00912D6E" w:rsidRPr="00912D6E">
        <w:rPr>
          <w:rFonts w:ascii="Times New Roman" w:hAnsi="Times New Roman" w:cs="Times New Roman"/>
          <w:sz w:val="24"/>
          <w:szCs w:val="24"/>
        </w:rPr>
        <w:t xml:space="preserve"> shows that regarding rotatory savings, a comparison of patrons who were farmers with those who were petty traders showed insignificant mean difference. This indicates that patrons in the two categories of groups did not significantly differ in their usage of rotatory savings. A comparison of patrons who were farmers with those who had other types of occupations such as craftsman, civil servants and others (both farm and non-farm livelihood strategies) all showed significant mean difference that was positive. This means that the first comparison group, that is patrons who were farmers, differed from patrons with other types of occupation in their usage of rotatory savings, because they used it more than the latter. The comparison of patrons who were petty traders with those of other types of occupation such as craftsman, civil servants and others (both farm and non-farm livelihood strategies) also showed that they differed significantly in the usage of rotatory savings. However, the comparison of patrons who were craftsman with those of other types of occupation such as civil servants and other farm and non-farm livelihood strategies engaged in by patrons showed no significant difference in their usage of rotatory savings. The comparison of patrons who were civil servants with those who had other farm and non-farm livelihood strategies also showed no significant difference in their usage of rotatory saving.</w:t>
      </w:r>
    </w:p>
    <w:p w:rsidR="00912D6E" w:rsidRPr="00912D6E" w:rsidRDefault="00912D6E" w:rsidP="00912D6E">
      <w:pPr>
        <w:pStyle w:val="NoSpacing"/>
        <w:spacing w:line="480" w:lineRule="auto"/>
        <w:jc w:val="both"/>
        <w:rPr>
          <w:rFonts w:ascii="Times New Roman" w:hAnsi="Times New Roman" w:cs="Times New Roman"/>
          <w:sz w:val="24"/>
          <w:szCs w:val="24"/>
        </w:rPr>
      </w:pPr>
    </w:p>
    <w:p w:rsidR="00912D6E" w:rsidRPr="00912D6E" w:rsidRDefault="00912D6E" w:rsidP="00912D6E">
      <w:pPr>
        <w:pStyle w:val="NoSpacing"/>
        <w:spacing w:line="480" w:lineRule="auto"/>
        <w:jc w:val="both"/>
        <w:rPr>
          <w:rFonts w:ascii="Times New Roman" w:hAnsi="Times New Roman" w:cs="Times New Roman"/>
          <w:sz w:val="24"/>
          <w:szCs w:val="24"/>
        </w:rPr>
      </w:pPr>
      <w:r w:rsidRPr="00912D6E">
        <w:rPr>
          <w:rFonts w:ascii="Times New Roman" w:hAnsi="Times New Roman" w:cs="Times New Roman"/>
          <w:sz w:val="24"/>
          <w:szCs w:val="24"/>
        </w:rPr>
        <w:lastRenderedPageBreak/>
        <w:t>On the other hand, the result of the LSD multiple comparison test revealed that with regards to fixed savings, the comparison of patrons who were farmers in the usage of informal credit system with those who were petty traders showed insignificant mean difference. This indicates that patrons in the two categories of comparison groups do not significantly differ in their usage of rotatory savings. The comparison of patrons who were farmers with those of other types of occupations such as craftsman, civil servant and others (both farm and non-farm livelihood strategies) all showed significant mean difference that is positive. This means that the first comparison group, which is patrons who were farmers, differs from those of other types of occupation in their usage of fixed savings, which means that they use it more. The comparison of patrons who were petty traders with those of other types of occupation such as craftsman, civil servants and others (both farm and non-farm livelihood strategies) also showed that they significantly differ in the usage of fixed savings. However, the comparison of patrons who were craftsmen with those of other types of occupation such as civil servants and other farm and non-farm livelihood strategies engaged in by patrons showed no significant difference in their usage of fixed savings. The comparison of those who were civil servants with those who had other farm and non-farm livelihood strategies also showed no significant difference in their usage of fixed savings.</w:t>
      </w:r>
    </w:p>
    <w:p w:rsidR="00912D6E" w:rsidRDefault="0060161F" w:rsidP="00255C6A">
      <w:pPr>
        <w:jc w:val="both"/>
        <w:rPr>
          <w:rFonts w:ascii="Times New Roman" w:hAnsi="Times New Roman" w:cs="Times New Roman"/>
          <w:b/>
          <w:sz w:val="24"/>
          <w:szCs w:val="24"/>
        </w:rPr>
      </w:pPr>
      <w:r>
        <w:rPr>
          <w:rFonts w:ascii="Times New Roman" w:hAnsi="Times New Roman" w:cs="Times New Roman"/>
          <w:b/>
          <w:sz w:val="24"/>
          <w:szCs w:val="24"/>
        </w:rPr>
        <w:t>Discussion of findings</w:t>
      </w:r>
    </w:p>
    <w:p w:rsidR="00541C78" w:rsidRPr="00DD3134" w:rsidRDefault="00F51771" w:rsidP="00541C78">
      <w:pPr>
        <w:spacing w:line="480" w:lineRule="auto"/>
        <w:ind w:right="47"/>
        <w:jc w:val="both"/>
        <w:rPr>
          <w:rFonts w:ascii="Times New Roman" w:hAnsi="Times New Roman" w:cs="Times New Roman"/>
          <w:sz w:val="24"/>
          <w:szCs w:val="24"/>
        </w:rPr>
      </w:pPr>
      <w:r>
        <w:rPr>
          <w:rFonts w:ascii="Times New Roman" w:hAnsi="Times New Roman" w:cs="Times New Roman"/>
          <w:sz w:val="24"/>
          <w:szCs w:val="24"/>
        </w:rPr>
        <w:t>Table 1</w:t>
      </w:r>
      <w:r w:rsidR="00541C78" w:rsidRPr="00DD3134">
        <w:rPr>
          <w:rFonts w:ascii="Times New Roman" w:hAnsi="Times New Roman" w:cs="Times New Roman"/>
          <w:sz w:val="24"/>
          <w:szCs w:val="24"/>
        </w:rPr>
        <w:t xml:space="preserve"> shows the independent t-test analysis of the influence of gender on the usage of four categories of informal credit systems in Cross River State. Patrons’ gender was significant in influencing their usage of rotatory savings as a form of informal credit system. However, patrons’ gender was not significant in influencing their usage of fixed savings, mobile banking and individual money lenders as forms of ICSs. This shows that the use of rotatory saving is determined by patrons’ gender with women having dominance over men in their patronage. The </w:t>
      </w:r>
      <w:r w:rsidR="00541C78" w:rsidRPr="00DD3134">
        <w:rPr>
          <w:rFonts w:ascii="Times New Roman" w:hAnsi="Times New Roman" w:cs="Times New Roman"/>
          <w:sz w:val="24"/>
          <w:szCs w:val="24"/>
        </w:rPr>
        <w:lastRenderedPageBreak/>
        <w:t>study further revealed traders’ dominance in rotatory savings as was evident in the result on the categories of ICSs patronized by users. The study also showed that the reason why patrons fix their savings is because of the difficult they encounter in keeping their money and also, due to the fact that they are frequent</w:t>
      </w:r>
      <w:r w:rsidR="00A168A3">
        <w:rPr>
          <w:rFonts w:ascii="Times New Roman" w:hAnsi="Times New Roman" w:cs="Times New Roman"/>
          <w:sz w:val="24"/>
          <w:szCs w:val="24"/>
        </w:rPr>
        <w:t>ly in</w:t>
      </w:r>
      <w:r w:rsidR="00541C78" w:rsidRPr="00DD3134">
        <w:rPr>
          <w:rFonts w:ascii="Times New Roman" w:hAnsi="Times New Roman" w:cs="Times New Roman"/>
          <w:sz w:val="24"/>
          <w:szCs w:val="24"/>
        </w:rPr>
        <w:t xml:space="preserve"> need </w:t>
      </w:r>
      <w:proofErr w:type="gramStart"/>
      <w:r w:rsidR="00541C78" w:rsidRPr="00DD3134">
        <w:rPr>
          <w:rFonts w:ascii="Times New Roman" w:hAnsi="Times New Roman" w:cs="Times New Roman"/>
          <w:sz w:val="24"/>
          <w:szCs w:val="24"/>
        </w:rPr>
        <w:t>of</w:t>
      </w:r>
      <w:proofErr w:type="gramEnd"/>
      <w:r w:rsidR="00541C78" w:rsidRPr="00DD3134">
        <w:rPr>
          <w:rFonts w:ascii="Times New Roman" w:hAnsi="Times New Roman" w:cs="Times New Roman"/>
          <w:sz w:val="24"/>
          <w:szCs w:val="24"/>
        </w:rPr>
        <w:t xml:space="preserve"> money for business transactions. Therefore, harmonizing the saving ability of women could enhance and utilize their untapped abilities and unmet needs and demand for income which has been previously observed by researchers (</w:t>
      </w:r>
      <w:proofErr w:type="spellStart"/>
      <w:r w:rsidR="00541C78" w:rsidRPr="00DD3134">
        <w:rPr>
          <w:rFonts w:ascii="Times New Roman" w:hAnsi="Times New Roman" w:cs="Times New Roman"/>
          <w:sz w:val="24"/>
          <w:szCs w:val="24"/>
        </w:rPr>
        <w:t>Jeiyol</w:t>
      </w:r>
      <w:proofErr w:type="spellEnd"/>
      <w:r w:rsidR="00541C78" w:rsidRPr="00DD3134">
        <w:rPr>
          <w:rFonts w:ascii="Times New Roman" w:hAnsi="Times New Roman" w:cs="Times New Roman"/>
          <w:sz w:val="24"/>
          <w:szCs w:val="24"/>
        </w:rPr>
        <w:t xml:space="preserve">, </w:t>
      </w:r>
      <w:proofErr w:type="spellStart"/>
      <w:r w:rsidR="00541C78" w:rsidRPr="00DD3134">
        <w:rPr>
          <w:rFonts w:ascii="Times New Roman" w:hAnsi="Times New Roman" w:cs="Times New Roman"/>
          <w:sz w:val="24"/>
          <w:szCs w:val="24"/>
        </w:rPr>
        <w:t>Akpan</w:t>
      </w:r>
      <w:proofErr w:type="spellEnd"/>
      <w:r w:rsidR="00541C78" w:rsidRPr="00DD3134">
        <w:rPr>
          <w:rFonts w:ascii="Times New Roman" w:hAnsi="Times New Roman" w:cs="Times New Roman"/>
          <w:sz w:val="24"/>
          <w:szCs w:val="24"/>
        </w:rPr>
        <w:t xml:space="preserve"> and Tee, 2013). </w:t>
      </w:r>
    </w:p>
    <w:p w:rsidR="00541C78" w:rsidRPr="00DD3134" w:rsidRDefault="00541C78" w:rsidP="00541C78">
      <w:pPr>
        <w:spacing w:line="480" w:lineRule="auto"/>
        <w:ind w:right="47"/>
        <w:jc w:val="both"/>
        <w:rPr>
          <w:rFonts w:ascii="Times New Roman" w:hAnsi="Times New Roman" w:cs="Times New Roman"/>
          <w:sz w:val="24"/>
          <w:szCs w:val="24"/>
        </w:rPr>
      </w:pPr>
      <w:r w:rsidRPr="00DD3134">
        <w:rPr>
          <w:rFonts w:ascii="Times New Roman" w:hAnsi="Times New Roman" w:cs="Times New Roman"/>
          <w:sz w:val="24"/>
          <w:szCs w:val="24"/>
        </w:rPr>
        <w:t xml:space="preserve">Result showing the independent t-test analysis on the influence of patrons’ household size on ICSs </w:t>
      </w:r>
      <w:r w:rsidR="00F51771">
        <w:rPr>
          <w:rFonts w:ascii="Times New Roman" w:hAnsi="Times New Roman" w:cs="Times New Roman"/>
          <w:sz w:val="24"/>
          <w:szCs w:val="24"/>
        </w:rPr>
        <w:t>usage as indicated in Table 2</w:t>
      </w:r>
      <w:r w:rsidRPr="00DD3134">
        <w:rPr>
          <w:rFonts w:ascii="Times New Roman" w:hAnsi="Times New Roman" w:cs="Times New Roman"/>
          <w:sz w:val="24"/>
          <w:szCs w:val="24"/>
        </w:rPr>
        <w:t xml:space="preserve"> showed that household size significantly influenced the usage of informal credit systems for rotatory and fixed savings, but was insignificant for other categories of informal credit systems (mobile bankers and individual money lenders). This finding might have less implication for ICSs usage; however a pair-wise comparison on the dimension of household size (less than 10 and 10 and above) could influence patrons’ usage of ICSs in Cross River State. This is seen as smaller households (less than 10) differed from large households (10 and above) in their usage in all the categories of ICSs. </w:t>
      </w:r>
    </w:p>
    <w:p w:rsidR="00541C78" w:rsidRPr="00DD3134" w:rsidRDefault="00541C78" w:rsidP="00541C78">
      <w:pPr>
        <w:spacing w:line="480" w:lineRule="auto"/>
        <w:ind w:right="47"/>
        <w:jc w:val="both"/>
        <w:rPr>
          <w:rFonts w:ascii="Times New Roman" w:hAnsi="Times New Roman" w:cs="Times New Roman"/>
          <w:sz w:val="24"/>
          <w:szCs w:val="24"/>
        </w:rPr>
      </w:pPr>
      <w:r w:rsidRPr="00DD3134">
        <w:rPr>
          <w:rFonts w:ascii="Times New Roman" w:hAnsi="Times New Roman" w:cs="Times New Roman"/>
          <w:sz w:val="24"/>
          <w:szCs w:val="24"/>
        </w:rPr>
        <w:t>Result of one-way analysis of</w:t>
      </w:r>
      <w:r w:rsidR="00F51771">
        <w:rPr>
          <w:rFonts w:ascii="Times New Roman" w:hAnsi="Times New Roman" w:cs="Times New Roman"/>
          <w:sz w:val="24"/>
          <w:szCs w:val="24"/>
        </w:rPr>
        <w:t xml:space="preserve"> variance as shown in Table 3</w:t>
      </w:r>
      <w:r w:rsidRPr="00DD3134">
        <w:rPr>
          <w:rFonts w:ascii="Times New Roman" w:hAnsi="Times New Roman" w:cs="Times New Roman"/>
          <w:sz w:val="24"/>
          <w:szCs w:val="24"/>
        </w:rPr>
        <w:t xml:space="preserve"> exonerated patrons’ level of education from having any influence on their usage of rotatory and fixed savings, but implicated their level of education to have an influence on their usage and patronage of mobile banking and individual money lending as forms of informal credit systems. This finding indicates that ICSs organized on group basis (rotatory and fixed savings) do not require literacy for transactions to take place. There is much emphasis and reliance on other patrons who are literate enough to read and write. This is usually so in cases where some retirees and civil servants among the patrons are nominated and given the responsibility to oversee the financial records of the group. Unlike </w:t>
      </w:r>
      <w:r w:rsidRPr="00DD3134">
        <w:rPr>
          <w:rFonts w:ascii="Times New Roman" w:hAnsi="Times New Roman" w:cs="Times New Roman"/>
          <w:sz w:val="24"/>
          <w:szCs w:val="24"/>
        </w:rPr>
        <w:lastRenderedPageBreak/>
        <w:t xml:space="preserve">rotatory and fixed savings which are operated on group basis, mobile banking and individual money lending require adequate documentation and understanding of terms of agreement with regards to interest rate and other information necessary for servicing the transaction. Thus, there is need for patrons of informal credit groups to have the foregoing understanding in order for transactions to be done effectively. </w:t>
      </w:r>
    </w:p>
    <w:p w:rsidR="00541C78" w:rsidRPr="00DD3134" w:rsidRDefault="00541C78" w:rsidP="00541C78">
      <w:pPr>
        <w:spacing w:line="480" w:lineRule="auto"/>
        <w:ind w:right="47"/>
        <w:jc w:val="both"/>
        <w:rPr>
          <w:rFonts w:ascii="Times New Roman" w:hAnsi="Times New Roman" w:cs="Times New Roman"/>
          <w:sz w:val="24"/>
          <w:szCs w:val="24"/>
        </w:rPr>
      </w:pPr>
      <w:r w:rsidRPr="00DD3134">
        <w:rPr>
          <w:rFonts w:ascii="Times New Roman" w:hAnsi="Times New Roman" w:cs="Times New Roman"/>
          <w:sz w:val="24"/>
          <w:szCs w:val="24"/>
        </w:rPr>
        <w:t xml:space="preserve">A post-hoc test using least significant difference test showed a pair-wise comparison of the various levels of education (no-formal, primary, secondary and tertiary education) and the usage of rotatory and fixed saving as forms of informal credit systems composed on group basis. The result as indicated in Table 4 reveals that among the various levels of patrons’ education, there were differences in their association and usage. Educated patrons were longing to associate with group where other patrons were also educated, while patrons who were not educated were also attracted to patronize, use and associate with their folk. This could be the reason why informal credit groups are formed among individuals with common interest and purpose. This result corroborates </w:t>
      </w:r>
      <w:proofErr w:type="spellStart"/>
      <w:r w:rsidRPr="00DD3134">
        <w:rPr>
          <w:rFonts w:ascii="Times New Roman" w:hAnsi="Times New Roman" w:cs="Times New Roman"/>
          <w:sz w:val="24"/>
          <w:szCs w:val="24"/>
        </w:rPr>
        <w:t>Essien</w:t>
      </w:r>
      <w:proofErr w:type="spellEnd"/>
      <w:r w:rsidR="007753F0">
        <w:rPr>
          <w:rFonts w:ascii="Times New Roman" w:hAnsi="Times New Roman" w:cs="Times New Roman"/>
          <w:sz w:val="24"/>
          <w:szCs w:val="24"/>
        </w:rPr>
        <w:t>,</w:t>
      </w:r>
      <w:r w:rsidRPr="00DD3134">
        <w:rPr>
          <w:rFonts w:ascii="Times New Roman" w:hAnsi="Times New Roman" w:cs="Times New Roman"/>
          <w:sz w:val="24"/>
          <w:szCs w:val="24"/>
        </w:rPr>
        <w:t xml:space="preserve"> </w:t>
      </w:r>
      <w:proofErr w:type="spellStart"/>
      <w:r w:rsidR="007753F0">
        <w:rPr>
          <w:rFonts w:ascii="Times New Roman" w:hAnsi="Times New Roman" w:cs="Times New Roman"/>
          <w:sz w:val="24"/>
          <w:szCs w:val="24"/>
        </w:rPr>
        <w:t>Ugwu</w:t>
      </w:r>
      <w:proofErr w:type="spellEnd"/>
      <w:r w:rsidR="007753F0">
        <w:rPr>
          <w:rFonts w:ascii="Times New Roman" w:hAnsi="Times New Roman" w:cs="Times New Roman"/>
          <w:sz w:val="24"/>
          <w:szCs w:val="24"/>
        </w:rPr>
        <w:t xml:space="preserve"> and </w:t>
      </w:r>
      <w:proofErr w:type="spellStart"/>
      <w:r w:rsidR="007753F0">
        <w:rPr>
          <w:rFonts w:ascii="Times New Roman" w:hAnsi="Times New Roman" w:cs="Times New Roman"/>
          <w:sz w:val="24"/>
          <w:szCs w:val="24"/>
        </w:rPr>
        <w:t>Daasi</w:t>
      </w:r>
      <w:proofErr w:type="spellEnd"/>
      <w:r w:rsidRPr="00DD3134">
        <w:rPr>
          <w:rFonts w:ascii="Times New Roman" w:hAnsi="Times New Roman" w:cs="Times New Roman"/>
          <w:sz w:val="24"/>
          <w:szCs w:val="24"/>
        </w:rPr>
        <w:t xml:space="preserve"> (2012) findings that informal credit associations are formed along occupational line. </w:t>
      </w:r>
    </w:p>
    <w:p w:rsidR="00541C78" w:rsidRPr="00DD3134" w:rsidRDefault="00541C78" w:rsidP="00541C78">
      <w:pPr>
        <w:spacing w:line="480" w:lineRule="auto"/>
        <w:ind w:right="47"/>
        <w:jc w:val="both"/>
        <w:rPr>
          <w:rFonts w:ascii="Times New Roman" w:hAnsi="Times New Roman" w:cs="Times New Roman"/>
          <w:sz w:val="24"/>
          <w:szCs w:val="24"/>
        </w:rPr>
      </w:pPr>
      <w:r w:rsidRPr="00DD3134">
        <w:rPr>
          <w:rFonts w:ascii="Times New Roman" w:hAnsi="Times New Roman" w:cs="Times New Roman"/>
          <w:sz w:val="24"/>
          <w:szCs w:val="24"/>
        </w:rPr>
        <w:t xml:space="preserve">Data in Tables </w:t>
      </w:r>
      <w:r w:rsidR="00F87B7F">
        <w:rPr>
          <w:rFonts w:ascii="Times New Roman" w:hAnsi="Times New Roman" w:cs="Times New Roman"/>
          <w:sz w:val="24"/>
          <w:szCs w:val="24"/>
        </w:rPr>
        <w:t xml:space="preserve">5 and </w:t>
      </w:r>
      <w:r w:rsidRPr="00DD3134">
        <w:rPr>
          <w:rFonts w:ascii="Times New Roman" w:hAnsi="Times New Roman" w:cs="Times New Roman"/>
          <w:sz w:val="24"/>
          <w:szCs w:val="24"/>
        </w:rPr>
        <w:t xml:space="preserve">6 </w:t>
      </w:r>
      <w:r w:rsidR="006B1B21" w:rsidRPr="00DD3134">
        <w:rPr>
          <w:rFonts w:ascii="Times New Roman" w:hAnsi="Times New Roman" w:cs="Times New Roman"/>
          <w:sz w:val="24"/>
          <w:szCs w:val="24"/>
        </w:rPr>
        <w:t>shows</w:t>
      </w:r>
      <w:r w:rsidRPr="00DD3134">
        <w:rPr>
          <w:rFonts w:ascii="Times New Roman" w:hAnsi="Times New Roman" w:cs="Times New Roman"/>
          <w:sz w:val="24"/>
          <w:szCs w:val="24"/>
        </w:rPr>
        <w:t xml:space="preserve"> the one way-analysis of variance and least significance difference multiple comparison test of influence of patrons’ monthly income on their usage of informal credit systems in Cross River State. Result as indicated in Table </w:t>
      </w:r>
      <w:r w:rsidR="00F87B7F">
        <w:rPr>
          <w:rFonts w:ascii="Times New Roman" w:hAnsi="Times New Roman" w:cs="Times New Roman"/>
          <w:sz w:val="24"/>
          <w:szCs w:val="24"/>
        </w:rPr>
        <w:t>5</w:t>
      </w:r>
      <w:r w:rsidRPr="00DD3134">
        <w:rPr>
          <w:rFonts w:ascii="Times New Roman" w:hAnsi="Times New Roman" w:cs="Times New Roman"/>
          <w:sz w:val="24"/>
          <w:szCs w:val="24"/>
        </w:rPr>
        <w:t xml:space="preserve"> reveals a significant influence of patrons’ level of monthly income on their usage of all the four forms of informal credit systems (rotatory savings, fixed saving, mobile banking and individual money lending). This is an indication that the amount of money available to patrons determines their patronage and the amount they contribute to the group. This can also be seen in the ranges of amount that patrons invest with and the challenge of non-repayment and defaulting in contract engagement by some </w:t>
      </w:r>
      <w:r w:rsidRPr="00DD3134">
        <w:rPr>
          <w:rFonts w:ascii="Times New Roman" w:hAnsi="Times New Roman" w:cs="Times New Roman"/>
          <w:sz w:val="24"/>
          <w:szCs w:val="24"/>
        </w:rPr>
        <w:lastRenderedPageBreak/>
        <w:t>patrons. To further ascertain the level of interaction of patrons’ level of income and their usage of the various forms of ICSs, a pair-wise comparison of each of the five (5) levels of income (less than ₦20,000, ₦20,000 – ₦40,000, ₦41,000 - ₦60,000, ₦61,000- ₦80,000, ₦81,000 - ₦100 000 and ₦100,000 and above) was conducted. The result showed that differences occurred among patrons in their usage of any of the forms of ICSs with regards to the amount available to them. For ins</w:t>
      </w:r>
      <w:r w:rsidR="00F87B7F">
        <w:rPr>
          <w:rFonts w:ascii="Times New Roman" w:hAnsi="Times New Roman" w:cs="Times New Roman"/>
          <w:sz w:val="24"/>
          <w:szCs w:val="24"/>
        </w:rPr>
        <w:t xml:space="preserve">tance, as indicated in Table </w:t>
      </w:r>
      <w:r w:rsidRPr="00DD3134">
        <w:rPr>
          <w:rFonts w:ascii="Times New Roman" w:hAnsi="Times New Roman" w:cs="Times New Roman"/>
          <w:sz w:val="24"/>
          <w:szCs w:val="24"/>
        </w:rPr>
        <w:t xml:space="preserve">6, the comparison of ICSs patrons whose level of monthly income was less than ₦20,000 with other patrons’ level of monthly incomes (less than ₦20,000, ₦20,000 – ₦40,000, ₦41,000 - ₦60,000, ₦61,000- ₦80,000, ₦81,000 - ₦100 000 and ₦100000 and above) all showed a significant mean difference, meaning that they differ in their usage of rotatory and fixed savings as forms of informal credit systems in Cross River State. </w:t>
      </w:r>
    </w:p>
    <w:p w:rsidR="00541C78" w:rsidRPr="00DD3134" w:rsidRDefault="00541C78" w:rsidP="00541C78">
      <w:pPr>
        <w:spacing w:line="480" w:lineRule="auto"/>
        <w:ind w:right="47"/>
        <w:jc w:val="both"/>
        <w:rPr>
          <w:rFonts w:ascii="Times New Roman" w:hAnsi="Times New Roman" w:cs="Times New Roman"/>
          <w:sz w:val="24"/>
          <w:szCs w:val="24"/>
        </w:rPr>
      </w:pPr>
      <w:r w:rsidRPr="00DD3134">
        <w:rPr>
          <w:rFonts w:ascii="Times New Roman" w:hAnsi="Times New Roman" w:cs="Times New Roman"/>
          <w:sz w:val="24"/>
          <w:szCs w:val="24"/>
        </w:rPr>
        <w:t>Finally, result on the influence of patrons’ occupation on their usage of ICSs according to data in Tables 7</w:t>
      </w:r>
      <w:r w:rsidR="00F87B7F">
        <w:rPr>
          <w:rFonts w:ascii="Times New Roman" w:hAnsi="Times New Roman" w:cs="Times New Roman"/>
          <w:sz w:val="24"/>
          <w:szCs w:val="24"/>
        </w:rPr>
        <w:t xml:space="preserve"> </w:t>
      </w:r>
      <w:r w:rsidRPr="00DD3134">
        <w:rPr>
          <w:rFonts w:ascii="Times New Roman" w:hAnsi="Times New Roman" w:cs="Times New Roman"/>
          <w:sz w:val="24"/>
          <w:szCs w:val="24"/>
        </w:rPr>
        <w:t xml:space="preserve">and </w:t>
      </w:r>
      <w:r w:rsidR="00F87B7F">
        <w:rPr>
          <w:rFonts w:ascii="Times New Roman" w:hAnsi="Times New Roman" w:cs="Times New Roman"/>
          <w:sz w:val="24"/>
          <w:szCs w:val="24"/>
        </w:rPr>
        <w:t>8</w:t>
      </w:r>
      <w:r w:rsidRPr="00DD3134">
        <w:rPr>
          <w:rFonts w:ascii="Times New Roman" w:hAnsi="Times New Roman" w:cs="Times New Roman"/>
          <w:sz w:val="24"/>
          <w:szCs w:val="24"/>
        </w:rPr>
        <w:t xml:space="preserve"> reveal that patrons’ occupation had a significant influence in determining their usage of all the forms of informal credit systems (rotatory saving, fixed saving, mobile banking and individual money lending). However, the dimension of the influence of the variation of patrons’ occupation was established in Table </w:t>
      </w:r>
      <w:r w:rsidR="00F87B7F">
        <w:rPr>
          <w:rFonts w:ascii="Times New Roman" w:hAnsi="Times New Roman" w:cs="Times New Roman"/>
          <w:sz w:val="24"/>
          <w:szCs w:val="24"/>
        </w:rPr>
        <w:t>8</w:t>
      </w:r>
      <w:r w:rsidRPr="00DD3134">
        <w:rPr>
          <w:rFonts w:ascii="Times New Roman" w:hAnsi="Times New Roman" w:cs="Times New Roman"/>
          <w:sz w:val="24"/>
          <w:szCs w:val="24"/>
        </w:rPr>
        <w:t xml:space="preserve"> (least significant difference multiple comparison). Patrons’ usage of any form of ICSs, according to the data in Table </w:t>
      </w:r>
      <w:r w:rsidR="00F87B7F">
        <w:rPr>
          <w:rFonts w:ascii="Times New Roman" w:hAnsi="Times New Roman" w:cs="Times New Roman"/>
          <w:sz w:val="24"/>
          <w:szCs w:val="24"/>
        </w:rPr>
        <w:t>8</w:t>
      </w:r>
      <w:r w:rsidRPr="00DD3134">
        <w:rPr>
          <w:rFonts w:ascii="Times New Roman" w:hAnsi="Times New Roman" w:cs="Times New Roman"/>
          <w:sz w:val="24"/>
          <w:szCs w:val="24"/>
        </w:rPr>
        <w:t xml:space="preserve">, is informed by their occupation. For instance, patrons who were farmers were different from patrons with other occupation in their usage of any form of informal credit systems. This could also affect their reason for investing or saving. While a trader is more likely to prefer a rotatory form of saving due to frequency of financial demand for their business, a farmer is more likely to be interested in fixed saving with the hope of harvesting his money for farming activities in the next season of planting. </w:t>
      </w:r>
    </w:p>
    <w:p w:rsidR="00541C78" w:rsidRPr="00DD3134" w:rsidRDefault="00541C78" w:rsidP="00541C78">
      <w:pPr>
        <w:spacing w:line="480" w:lineRule="auto"/>
        <w:ind w:right="47"/>
        <w:jc w:val="both"/>
        <w:rPr>
          <w:rFonts w:ascii="Times New Roman" w:hAnsi="Times New Roman" w:cs="Times New Roman"/>
          <w:sz w:val="24"/>
          <w:szCs w:val="24"/>
        </w:rPr>
      </w:pPr>
      <w:r w:rsidRPr="00DD3134">
        <w:rPr>
          <w:rFonts w:ascii="Times New Roman" w:hAnsi="Times New Roman" w:cs="Times New Roman"/>
          <w:sz w:val="24"/>
          <w:szCs w:val="24"/>
        </w:rPr>
        <w:lastRenderedPageBreak/>
        <w:t xml:space="preserve">It is also necessary to point out that patrons’ occupations have an implication for the frequency, choice and demand for fund. Among patrons’ occupational variations (farmers, petty traders, civil servants and others), their income usage varies. The frequency with which a trader or farmer may require or have the demand for income is insignificant compared to a patron who may be a craftsman or civil servant. This is as a result of seasonality in income demand and spending. Patrons who are craftsmen, farmers and non-traders were found to often engage in fixed savings. Demand for their savings usually come during celebration, ceremonial and festive periods - new yam, burial, wedding, Christmas, etc. This finding corroborates the results of earlier studies (Cochrane and Thornton, 2017; Case, </w:t>
      </w:r>
      <w:proofErr w:type="spellStart"/>
      <w:r w:rsidRPr="00DD3134">
        <w:rPr>
          <w:rFonts w:ascii="Times New Roman" w:hAnsi="Times New Roman" w:cs="Times New Roman"/>
          <w:sz w:val="24"/>
          <w:szCs w:val="24"/>
        </w:rPr>
        <w:t>Garrib</w:t>
      </w:r>
      <w:proofErr w:type="spellEnd"/>
      <w:r w:rsidRPr="00DD3134">
        <w:rPr>
          <w:rFonts w:ascii="Times New Roman" w:hAnsi="Times New Roman" w:cs="Times New Roman"/>
          <w:sz w:val="24"/>
          <w:szCs w:val="24"/>
        </w:rPr>
        <w:t xml:space="preserve">, Menendez and </w:t>
      </w:r>
      <w:proofErr w:type="spellStart"/>
      <w:r w:rsidRPr="00DD3134">
        <w:rPr>
          <w:rFonts w:ascii="Times New Roman" w:hAnsi="Times New Roman" w:cs="Times New Roman"/>
          <w:sz w:val="24"/>
          <w:szCs w:val="24"/>
        </w:rPr>
        <w:t>Olgiati</w:t>
      </w:r>
      <w:proofErr w:type="spellEnd"/>
      <w:r w:rsidRPr="00DD3134">
        <w:rPr>
          <w:rFonts w:ascii="Times New Roman" w:hAnsi="Times New Roman" w:cs="Times New Roman"/>
          <w:sz w:val="24"/>
          <w:szCs w:val="24"/>
        </w:rPr>
        <w:t xml:space="preserve">, 2013; </w:t>
      </w:r>
      <w:proofErr w:type="spellStart"/>
      <w:r w:rsidRPr="00DD3134">
        <w:rPr>
          <w:rFonts w:ascii="Times New Roman" w:hAnsi="Times New Roman" w:cs="Times New Roman"/>
          <w:sz w:val="24"/>
          <w:szCs w:val="24"/>
        </w:rPr>
        <w:t>Gurim</w:t>
      </w:r>
      <w:proofErr w:type="spellEnd"/>
      <w:r w:rsidRPr="00DD3134">
        <w:rPr>
          <w:rFonts w:ascii="Times New Roman" w:hAnsi="Times New Roman" w:cs="Times New Roman"/>
          <w:sz w:val="24"/>
          <w:szCs w:val="24"/>
        </w:rPr>
        <w:t xml:space="preserve">, </w:t>
      </w:r>
      <w:proofErr w:type="spellStart"/>
      <w:r w:rsidRPr="00DD3134">
        <w:rPr>
          <w:rFonts w:ascii="Times New Roman" w:hAnsi="Times New Roman" w:cs="Times New Roman"/>
          <w:sz w:val="24"/>
          <w:szCs w:val="24"/>
        </w:rPr>
        <w:t>D’Espallier</w:t>
      </w:r>
      <w:proofErr w:type="spellEnd"/>
      <w:r w:rsidRPr="00DD3134">
        <w:rPr>
          <w:rFonts w:ascii="Times New Roman" w:hAnsi="Times New Roman" w:cs="Times New Roman"/>
          <w:sz w:val="24"/>
          <w:szCs w:val="24"/>
        </w:rPr>
        <w:t xml:space="preserve"> and </w:t>
      </w:r>
      <w:proofErr w:type="spellStart"/>
      <w:r w:rsidRPr="00DD3134">
        <w:rPr>
          <w:rFonts w:ascii="Times New Roman" w:hAnsi="Times New Roman" w:cs="Times New Roman"/>
          <w:sz w:val="24"/>
          <w:szCs w:val="24"/>
        </w:rPr>
        <w:t>Venkatasubramanian</w:t>
      </w:r>
      <w:proofErr w:type="spellEnd"/>
      <w:r w:rsidRPr="00DD3134">
        <w:rPr>
          <w:rFonts w:ascii="Times New Roman" w:hAnsi="Times New Roman" w:cs="Times New Roman"/>
          <w:sz w:val="24"/>
          <w:szCs w:val="24"/>
        </w:rPr>
        <w:t xml:space="preserve">, 2013). </w:t>
      </w:r>
    </w:p>
    <w:p w:rsidR="0060161F" w:rsidRPr="00F87B7F" w:rsidRDefault="00F87B7F" w:rsidP="0060161F">
      <w:pPr>
        <w:pStyle w:val="NoSpacing"/>
        <w:spacing w:line="480" w:lineRule="auto"/>
        <w:jc w:val="both"/>
        <w:rPr>
          <w:rFonts w:ascii="Times New Roman" w:hAnsi="Times New Roman" w:cs="Times New Roman"/>
          <w:b/>
          <w:sz w:val="24"/>
          <w:szCs w:val="24"/>
        </w:rPr>
      </w:pPr>
      <w:r w:rsidRPr="00F87B7F">
        <w:rPr>
          <w:rFonts w:ascii="Times New Roman" w:hAnsi="Times New Roman" w:cs="Times New Roman"/>
          <w:b/>
          <w:sz w:val="24"/>
          <w:szCs w:val="24"/>
        </w:rPr>
        <w:t>CONCLU</w:t>
      </w:r>
      <w:r w:rsidR="00B85F74">
        <w:rPr>
          <w:rFonts w:ascii="Times New Roman" w:hAnsi="Times New Roman" w:cs="Times New Roman"/>
          <w:b/>
          <w:sz w:val="24"/>
          <w:szCs w:val="24"/>
        </w:rPr>
        <w:t>DING REMARKS AND IMPLICATIONS</w:t>
      </w:r>
      <w:r w:rsidR="0060161F" w:rsidRPr="00F87B7F">
        <w:rPr>
          <w:rFonts w:ascii="Times New Roman" w:hAnsi="Times New Roman" w:cs="Times New Roman"/>
          <w:b/>
          <w:sz w:val="24"/>
          <w:szCs w:val="24"/>
        </w:rPr>
        <w:t xml:space="preserve">       </w:t>
      </w:r>
    </w:p>
    <w:p w:rsidR="00722A58" w:rsidRDefault="00722A58" w:rsidP="00722A58">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Investigations on informal credit system vary within contexts. This study has critically </w:t>
      </w:r>
      <w:r w:rsidRPr="00322AED">
        <w:rPr>
          <w:rFonts w:ascii="Times New Roman" w:hAnsi="Times New Roman" w:cs="Times New Roman"/>
          <w:sz w:val="24"/>
          <w:szCs w:val="24"/>
        </w:rPr>
        <w:t>explored the socio-economic importance of informal credit systems</w:t>
      </w:r>
      <w:r>
        <w:rPr>
          <w:rFonts w:ascii="Times New Roman" w:hAnsi="Times New Roman" w:cs="Times New Roman"/>
          <w:sz w:val="24"/>
          <w:szCs w:val="24"/>
        </w:rPr>
        <w:t>’</w:t>
      </w:r>
      <w:r w:rsidRPr="00322AED">
        <w:rPr>
          <w:rFonts w:ascii="Times New Roman" w:hAnsi="Times New Roman" w:cs="Times New Roman"/>
          <w:sz w:val="24"/>
          <w:szCs w:val="24"/>
        </w:rPr>
        <w:t xml:space="preserve"> patronage among rural dwellers with implications for poverty alleviation and rural development in Cross River State.</w:t>
      </w:r>
      <w:r w:rsidRPr="00322AED">
        <w:t xml:space="preserve"> </w:t>
      </w:r>
      <w:r>
        <w:rPr>
          <w:rFonts w:ascii="Times New Roman" w:hAnsi="Times New Roman" w:cs="Times New Roman"/>
          <w:sz w:val="24"/>
          <w:szCs w:val="24"/>
        </w:rPr>
        <w:t>Previous studies (</w:t>
      </w:r>
      <w:proofErr w:type="spellStart"/>
      <w:r>
        <w:rPr>
          <w:rFonts w:ascii="Times New Roman" w:hAnsi="Times New Roman" w:cs="Times New Roman"/>
          <w:sz w:val="24"/>
          <w:szCs w:val="24"/>
        </w:rPr>
        <w:t>Essien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Ugwu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Daasi</w:t>
      </w:r>
      <w:proofErr w:type="spellEnd"/>
      <w:r>
        <w:rPr>
          <w:rFonts w:ascii="Times New Roman" w:hAnsi="Times New Roman" w:cs="Times New Roman"/>
          <w:sz w:val="24"/>
          <w:szCs w:val="24"/>
        </w:rPr>
        <w:t xml:space="preserve">, 2012 and </w:t>
      </w:r>
      <w:proofErr w:type="spellStart"/>
      <w:r>
        <w:rPr>
          <w:rFonts w:ascii="Times New Roman" w:hAnsi="Times New Roman" w:cs="Times New Roman"/>
          <w:sz w:val="24"/>
          <w:szCs w:val="24"/>
        </w:rPr>
        <w:t>Daasi</w:t>
      </w:r>
      <w:proofErr w:type="spellEnd"/>
      <w:r>
        <w:rPr>
          <w:rFonts w:ascii="Times New Roman" w:hAnsi="Times New Roman" w:cs="Times New Roman"/>
          <w:sz w:val="24"/>
          <w:szCs w:val="24"/>
        </w:rPr>
        <w:t xml:space="preserve">, 2014) on informal credit system (ICSs) have severally relied on economic analysis, thereby shrinking their social importance, the </w:t>
      </w:r>
      <w:r w:rsidR="00FA5222">
        <w:rPr>
          <w:rFonts w:ascii="Times New Roman" w:hAnsi="Times New Roman" w:cs="Times New Roman"/>
          <w:sz w:val="24"/>
          <w:szCs w:val="24"/>
        </w:rPr>
        <w:t>latter</w:t>
      </w:r>
      <w:r>
        <w:rPr>
          <w:rFonts w:ascii="Times New Roman" w:hAnsi="Times New Roman" w:cs="Times New Roman"/>
          <w:sz w:val="24"/>
          <w:szCs w:val="24"/>
        </w:rPr>
        <w:t xml:space="preserve"> of which is necessary for explaining and exploring group cohesion and dynamics. Therefore, establishing a social basis for ICSs utilization and dynamics is of a high value, and it is necessary to understand the various changes, prospects and challenges the rural credit groups are faced with. </w:t>
      </w:r>
    </w:p>
    <w:p w:rsidR="00722A58" w:rsidRPr="009A10B5" w:rsidRDefault="00722A58" w:rsidP="00722A58">
      <w:pPr>
        <w:pStyle w:val="NoSpacing"/>
        <w:spacing w:line="480" w:lineRule="auto"/>
        <w:jc w:val="both"/>
        <w:rPr>
          <w:rFonts w:ascii="Times New Roman" w:hAnsi="Times New Roman" w:cs="Times New Roman"/>
          <w:szCs w:val="24"/>
        </w:rPr>
      </w:pPr>
    </w:p>
    <w:p w:rsidR="00722A58" w:rsidRPr="00050114" w:rsidRDefault="00722A58" w:rsidP="00722A58">
      <w:pPr>
        <w:pStyle w:val="NoSpacing"/>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From the findings of the present study, </w:t>
      </w:r>
      <w:r w:rsidR="00B85F74">
        <w:rPr>
          <w:rFonts w:ascii="Times New Roman" w:hAnsi="Times New Roman" w:cs="Times New Roman"/>
          <w:sz w:val="24"/>
          <w:szCs w:val="24"/>
        </w:rPr>
        <w:t xml:space="preserve">evidence abound that the transactions of </w:t>
      </w:r>
      <w:r w:rsidR="00B85F74" w:rsidRPr="009956DC">
        <w:rPr>
          <w:rFonts w:ascii="Times New Roman" w:hAnsi="Times New Roman" w:cs="Times New Roman"/>
          <w:sz w:val="24"/>
        </w:rPr>
        <w:t>informal credit groups</w:t>
      </w:r>
      <w:r w:rsidR="00B85F74">
        <w:rPr>
          <w:rFonts w:ascii="Times New Roman" w:hAnsi="Times New Roman" w:cs="Times New Roman"/>
          <w:sz w:val="24"/>
          <w:szCs w:val="24"/>
        </w:rPr>
        <w:t xml:space="preserve"> is necessary for group cohesion and rural development</w:t>
      </w:r>
      <w:r w:rsidR="00B85F74" w:rsidRPr="002D5CAB">
        <w:rPr>
          <w:rFonts w:ascii="Times New Roman" w:hAnsi="Times New Roman" w:cs="Times New Roman"/>
          <w:sz w:val="24"/>
          <w:szCs w:val="24"/>
        </w:rPr>
        <w:t xml:space="preserve"> </w:t>
      </w:r>
      <w:r w:rsidR="00B85F74">
        <w:rPr>
          <w:rFonts w:ascii="Times New Roman" w:hAnsi="Times New Roman" w:cs="Times New Roman"/>
          <w:sz w:val="24"/>
          <w:szCs w:val="24"/>
        </w:rPr>
        <w:t xml:space="preserve">in Cross River State. </w:t>
      </w:r>
      <w:r w:rsidR="00B85F74" w:rsidRPr="00050114">
        <w:rPr>
          <w:rFonts w:ascii="Times New Roman" w:hAnsi="Times New Roman" w:cs="Times New Roman"/>
          <w:color w:val="000000"/>
          <w:sz w:val="24"/>
          <w:szCs w:val="24"/>
        </w:rPr>
        <w:t xml:space="preserve">This </w:t>
      </w:r>
      <w:r w:rsidR="00B85F74" w:rsidRPr="00050114">
        <w:rPr>
          <w:rFonts w:ascii="Times New Roman" w:hAnsi="Times New Roman" w:cs="Times New Roman"/>
          <w:color w:val="000000"/>
          <w:sz w:val="24"/>
          <w:szCs w:val="24"/>
        </w:rPr>
        <w:lastRenderedPageBreak/>
        <w:t>conclusion is realizable by tappin</w:t>
      </w:r>
      <w:r w:rsidR="00B85F74">
        <w:rPr>
          <w:rFonts w:ascii="Times New Roman" w:hAnsi="Times New Roman" w:cs="Times New Roman"/>
          <w:color w:val="000000"/>
          <w:sz w:val="24"/>
          <w:szCs w:val="24"/>
        </w:rPr>
        <w:t>g into the resources that dwell</w:t>
      </w:r>
      <w:r w:rsidR="00B85F74" w:rsidRPr="00050114">
        <w:rPr>
          <w:rFonts w:ascii="Times New Roman" w:hAnsi="Times New Roman" w:cs="Times New Roman"/>
          <w:color w:val="000000"/>
          <w:sz w:val="24"/>
          <w:szCs w:val="24"/>
        </w:rPr>
        <w:t xml:space="preserve"> largely on ICSs members to spur participation and commitment to </w:t>
      </w:r>
      <w:r w:rsidR="00B85F74">
        <w:rPr>
          <w:rFonts w:ascii="Times New Roman" w:hAnsi="Times New Roman" w:cs="Times New Roman"/>
          <w:color w:val="000000"/>
          <w:sz w:val="24"/>
          <w:szCs w:val="24"/>
        </w:rPr>
        <w:t xml:space="preserve">ICS utilization and patronage </w:t>
      </w:r>
      <w:r w:rsidR="00B85F74" w:rsidRPr="00050114">
        <w:rPr>
          <w:rFonts w:ascii="Times New Roman" w:hAnsi="Times New Roman" w:cs="Times New Roman"/>
          <w:color w:val="000000"/>
          <w:sz w:val="24"/>
          <w:szCs w:val="24"/>
        </w:rPr>
        <w:t xml:space="preserve">as well as identify people of integrity that can also contribute </w:t>
      </w:r>
      <w:r w:rsidR="00B85F74">
        <w:rPr>
          <w:rFonts w:ascii="Times New Roman" w:hAnsi="Times New Roman" w:cs="Times New Roman"/>
          <w:color w:val="000000"/>
          <w:sz w:val="24"/>
          <w:szCs w:val="24"/>
        </w:rPr>
        <w:t>in the organization and management of informal credit groups</w:t>
      </w:r>
      <w:r w:rsidRPr="00050114">
        <w:rPr>
          <w:rFonts w:ascii="Times New Roman" w:hAnsi="Times New Roman" w:cs="Times New Roman"/>
          <w:color w:val="000000"/>
          <w:sz w:val="24"/>
          <w:szCs w:val="24"/>
        </w:rPr>
        <w:t xml:space="preserve">. </w:t>
      </w:r>
    </w:p>
    <w:p w:rsidR="0060161F" w:rsidRDefault="00744D05" w:rsidP="00255C6A">
      <w:pPr>
        <w:jc w:val="both"/>
        <w:rPr>
          <w:rFonts w:ascii="Times New Roman" w:hAnsi="Times New Roman" w:cs="Times New Roman"/>
          <w:b/>
          <w:sz w:val="24"/>
          <w:szCs w:val="24"/>
        </w:rPr>
      </w:pPr>
      <w:r>
        <w:rPr>
          <w:rFonts w:ascii="Times New Roman" w:hAnsi="Times New Roman" w:cs="Times New Roman"/>
          <w:b/>
          <w:sz w:val="24"/>
          <w:szCs w:val="24"/>
        </w:rPr>
        <w:t>REFERENCES</w:t>
      </w:r>
    </w:p>
    <w:p w:rsidR="00203B26" w:rsidRPr="007E34E5" w:rsidRDefault="00203B26" w:rsidP="007E34E5">
      <w:pPr>
        <w:spacing w:line="240" w:lineRule="auto"/>
        <w:ind w:left="720" w:hanging="720"/>
        <w:jc w:val="both"/>
        <w:rPr>
          <w:rFonts w:ascii="Times New Roman" w:hAnsi="Times New Roman" w:cs="Times New Roman"/>
          <w:i/>
          <w:sz w:val="24"/>
          <w:szCs w:val="24"/>
        </w:rPr>
      </w:pPr>
      <w:proofErr w:type="spellStart"/>
      <w:r w:rsidRPr="007E34E5">
        <w:rPr>
          <w:rFonts w:ascii="Times New Roman" w:hAnsi="Times New Roman" w:cs="Times New Roman"/>
          <w:sz w:val="24"/>
          <w:szCs w:val="24"/>
        </w:rPr>
        <w:t>Ajadi</w:t>
      </w:r>
      <w:proofErr w:type="spellEnd"/>
      <w:r w:rsidRPr="007E34E5">
        <w:rPr>
          <w:rFonts w:ascii="Times New Roman" w:hAnsi="Times New Roman" w:cs="Times New Roman"/>
          <w:sz w:val="24"/>
          <w:szCs w:val="24"/>
        </w:rPr>
        <w:t xml:space="preserve">, B.S. (2010). Poverty situation in Nigeria: An overview of rural development institutions. </w:t>
      </w:r>
      <w:r w:rsidRPr="007E34E5">
        <w:rPr>
          <w:rFonts w:ascii="Times New Roman" w:hAnsi="Times New Roman" w:cs="Times New Roman"/>
          <w:i/>
          <w:sz w:val="24"/>
          <w:szCs w:val="24"/>
        </w:rPr>
        <w:t>Pakistan Journal of Social Sciences, 7(5):351-356.</w:t>
      </w:r>
    </w:p>
    <w:p w:rsidR="00203B26" w:rsidRPr="007E34E5" w:rsidRDefault="00203B26" w:rsidP="007E34E5">
      <w:pPr>
        <w:autoSpaceDE w:val="0"/>
        <w:autoSpaceDN w:val="0"/>
        <w:adjustRightInd w:val="0"/>
        <w:spacing w:line="240" w:lineRule="auto"/>
        <w:ind w:left="720" w:hanging="720"/>
        <w:jc w:val="both"/>
        <w:rPr>
          <w:rFonts w:ascii="Times New Roman" w:hAnsi="Times New Roman" w:cs="Times New Roman"/>
          <w:sz w:val="24"/>
          <w:szCs w:val="24"/>
        </w:rPr>
      </w:pPr>
      <w:proofErr w:type="spellStart"/>
      <w:proofErr w:type="gramStart"/>
      <w:r w:rsidRPr="007E34E5">
        <w:rPr>
          <w:rFonts w:ascii="Times New Roman" w:hAnsi="Times New Roman" w:cs="Times New Roman"/>
          <w:sz w:val="24"/>
          <w:szCs w:val="24"/>
        </w:rPr>
        <w:t>Ary</w:t>
      </w:r>
      <w:proofErr w:type="spellEnd"/>
      <w:r w:rsidRPr="007E34E5">
        <w:rPr>
          <w:rFonts w:ascii="Times New Roman" w:hAnsi="Times New Roman" w:cs="Times New Roman"/>
          <w:sz w:val="24"/>
          <w:szCs w:val="24"/>
        </w:rPr>
        <w:t>, D., Jacobs, L. C., Sorensen, C. K. and Walker, D. A. (2014).</w:t>
      </w:r>
      <w:proofErr w:type="gramEnd"/>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Introduction to research in education (9</w:t>
      </w:r>
      <w:r w:rsidRPr="007E34E5">
        <w:rPr>
          <w:rFonts w:ascii="Times New Roman" w:hAnsi="Times New Roman" w:cs="Times New Roman"/>
          <w:sz w:val="24"/>
          <w:szCs w:val="24"/>
          <w:vertAlign w:val="superscript"/>
        </w:rPr>
        <w:t>th</w:t>
      </w:r>
      <w:r w:rsidRPr="007E34E5">
        <w:rPr>
          <w:rFonts w:ascii="Times New Roman" w:hAnsi="Times New Roman" w:cs="Times New Roman"/>
          <w:sz w:val="24"/>
          <w:szCs w:val="24"/>
        </w:rPr>
        <w:t xml:space="preserve"> Ed.).</w:t>
      </w:r>
      <w:proofErr w:type="gramEnd"/>
      <w:r w:rsidRPr="007E34E5">
        <w:rPr>
          <w:rFonts w:ascii="Times New Roman" w:hAnsi="Times New Roman" w:cs="Times New Roman"/>
          <w:sz w:val="24"/>
          <w:szCs w:val="24"/>
        </w:rPr>
        <w:t xml:space="preserve"> New York: </w:t>
      </w:r>
      <w:proofErr w:type="spellStart"/>
      <w:r w:rsidRPr="007E34E5">
        <w:rPr>
          <w:rFonts w:ascii="Times New Roman" w:hAnsi="Times New Roman" w:cs="Times New Roman"/>
          <w:sz w:val="24"/>
          <w:szCs w:val="24"/>
        </w:rPr>
        <w:t>Cengage</w:t>
      </w:r>
      <w:proofErr w:type="spellEnd"/>
      <w:r w:rsidRPr="007E34E5">
        <w:rPr>
          <w:rFonts w:ascii="Times New Roman" w:hAnsi="Times New Roman" w:cs="Times New Roman"/>
          <w:sz w:val="24"/>
          <w:szCs w:val="24"/>
        </w:rPr>
        <w:t xml:space="preserve"> and </w:t>
      </w:r>
      <w:proofErr w:type="spellStart"/>
      <w:r w:rsidRPr="007E34E5">
        <w:rPr>
          <w:rFonts w:ascii="Times New Roman" w:hAnsi="Times New Roman" w:cs="Times New Roman"/>
          <w:sz w:val="24"/>
          <w:szCs w:val="24"/>
        </w:rPr>
        <w:t>Cengage</w:t>
      </w:r>
      <w:proofErr w:type="spellEnd"/>
      <w:r w:rsidRPr="007E34E5">
        <w:rPr>
          <w:rFonts w:ascii="Times New Roman" w:hAnsi="Times New Roman" w:cs="Times New Roman"/>
          <w:sz w:val="24"/>
          <w:szCs w:val="24"/>
        </w:rPr>
        <w:t xml:space="preserve"> learning.</w:t>
      </w:r>
    </w:p>
    <w:p w:rsidR="00203B26" w:rsidRPr="007E34E5" w:rsidRDefault="00203B26" w:rsidP="007E34E5">
      <w:pPr>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7E34E5">
        <w:rPr>
          <w:rFonts w:ascii="Times New Roman" w:hAnsi="Times New Roman" w:cs="Times New Roman"/>
          <w:sz w:val="24"/>
          <w:szCs w:val="24"/>
        </w:rPr>
        <w:t>Atieno</w:t>
      </w:r>
      <w:proofErr w:type="spellEnd"/>
      <w:r w:rsidRPr="007E34E5">
        <w:rPr>
          <w:rFonts w:ascii="Times New Roman" w:hAnsi="Times New Roman" w:cs="Times New Roman"/>
          <w:sz w:val="24"/>
          <w:szCs w:val="24"/>
        </w:rPr>
        <w:t xml:space="preserve">, R. (2001). </w:t>
      </w:r>
      <w:r w:rsidRPr="007E34E5">
        <w:rPr>
          <w:rFonts w:ascii="Times New Roman" w:hAnsi="Times New Roman" w:cs="Times New Roman"/>
          <w:i/>
          <w:sz w:val="24"/>
          <w:szCs w:val="24"/>
        </w:rPr>
        <w:t>Formal and informal institutions’ lending policies and access to credit by small-scale enterprises in Kenya: An empirical assessment</w:t>
      </w:r>
      <w:r w:rsidRPr="007E34E5">
        <w:rPr>
          <w:rFonts w:ascii="Times New Roman" w:hAnsi="Times New Roman" w:cs="Times New Roman"/>
          <w:sz w:val="24"/>
          <w:szCs w:val="24"/>
        </w:rPr>
        <w:t>. Nairobi: African economic consortium.</w:t>
      </w:r>
    </w:p>
    <w:p w:rsidR="00203B26" w:rsidRPr="007E34E5" w:rsidRDefault="00203B26" w:rsidP="007E34E5">
      <w:pPr>
        <w:spacing w:line="240" w:lineRule="auto"/>
        <w:ind w:left="630" w:hanging="630"/>
        <w:jc w:val="both"/>
        <w:rPr>
          <w:rFonts w:ascii="Times New Roman" w:hAnsi="Times New Roman" w:cs="Times New Roman"/>
          <w:sz w:val="24"/>
          <w:szCs w:val="24"/>
        </w:rPr>
      </w:pPr>
      <w:proofErr w:type="gramStart"/>
      <w:r w:rsidRPr="007E34E5">
        <w:rPr>
          <w:rFonts w:ascii="Times New Roman" w:hAnsi="Times New Roman" w:cs="Times New Roman"/>
          <w:sz w:val="24"/>
          <w:szCs w:val="24"/>
        </w:rPr>
        <w:t>Bill</w:t>
      </w:r>
      <w:r>
        <w:rPr>
          <w:rFonts w:ascii="Times New Roman" w:hAnsi="Times New Roman" w:cs="Times New Roman"/>
          <w:sz w:val="24"/>
          <w:szCs w:val="24"/>
        </w:rPr>
        <w:t>s</w:t>
      </w:r>
      <w:r w:rsidRPr="007E34E5">
        <w:rPr>
          <w:rFonts w:ascii="Times New Roman" w:hAnsi="Times New Roman" w:cs="Times New Roman"/>
          <w:sz w:val="24"/>
          <w:szCs w:val="24"/>
        </w:rPr>
        <w:t>, G. (2004).</w:t>
      </w:r>
      <w:proofErr w:type="gramEnd"/>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Sample size formulas.</w:t>
      </w:r>
      <w:proofErr w:type="gramEnd"/>
      <w:r w:rsidRPr="007E34E5">
        <w:rPr>
          <w:rFonts w:ascii="Times New Roman" w:hAnsi="Times New Roman" w:cs="Times New Roman"/>
          <w:sz w:val="24"/>
          <w:szCs w:val="24"/>
        </w:rPr>
        <w:t xml:space="preserve"> Available online at: </w:t>
      </w:r>
      <w:hyperlink r:id="rId9" w:history="1">
        <w:r w:rsidRPr="007E34E5">
          <w:rPr>
            <w:rStyle w:val="Hyperlink"/>
            <w:rFonts w:ascii="Times New Roman" w:hAnsi="Times New Roman" w:cs="Times New Roman"/>
            <w:color w:val="auto"/>
            <w:sz w:val="24"/>
            <w:szCs w:val="24"/>
            <w:u w:val="none"/>
          </w:rPr>
          <w:t>http://williamgodden.com/samplesizeformula.pdf</w:t>
        </w:r>
      </w:hyperlink>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Accessed on 26th July, 2018.</w:t>
      </w:r>
      <w:proofErr w:type="gramEnd"/>
    </w:p>
    <w:p w:rsidR="00203B26" w:rsidRPr="007E34E5" w:rsidRDefault="00203B26" w:rsidP="007E34E5">
      <w:pPr>
        <w:spacing w:line="240" w:lineRule="auto"/>
        <w:ind w:left="720" w:hanging="720"/>
        <w:jc w:val="both"/>
        <w:rPr>
          <w:rFonts w:ascii="Times New Roman" w:hAnsi="Times New Roman" w:cs="Times New Roman"/>
          <w:i/>
          <w:sz w:val="24"/>
          <w:szCs w:val="24"/>
        </w:rPr>
      </w:pPr>
      <w:proofErr w:type="gramStart"/>
      <w:r w:rsidRPr="007E34E5">
        <w:rPr>
          <w:rFonts w:ascii="Times New Roman" w:hAnsi="Times New Roman" w:cs="Times New Roman"/>
          <w:sz w:val="24"/>
          <w:szCs w:val="24"/>
        </w:rPr>
        <w:t xml:space="preserve">Case, A., </w:t>
      </w:r>
      <w:proofErr w:type="spellStart"/>
      <w:r w:rsidRPr="007E34E5">
        <w:rPr>
          <w:rFonts w:ascii="Times New Roman" w:hAnsi="Times New Roman" w:cs="Times New Roman"/>
          <w:sz w:val="24"/>
          <w:szCs w:val="24"/>
        </w:rPr>
        <w:t>Garrib</w:t>
      </w:r>
      <w:proofErr w:type="spellEnd"/>
      <w:r w:rsidRPr="007E34E5">
        <w:rPr>
          <w:rFonts w:ascii="Times New Roman" w:hAnsi="Times New Roman" w:cs="Times New Roman"/>
          <w:sz w:val="24"/>
          <w:szCs w:val="24"/>
        </w:rPr>
        <w:t xml:space="preserve">, A., Menendez, A., </w:t>
      </w:r>
      <w:proofErr w:type="spellStart"/>
      <w:r w:rsidRPr="007E34E5">
        <w:rPr>
          <w:rFonts w:ascii="Times New Roman" w:hAnsi="Times New Roman" w:cs="Times New Roman"/>
          <w:sz w:val="24"/>
          <w:szCs w:val="24"/>
        </w:rPr>
        <w:t>Olgiati</w:t>
      </w:r>
      <w:proofErr w:type="spellEnd"/>
      <w:r w:rsidRPr="007E34E5">
        <w:rPr>
          <w:rFonts w:ascii="Times New Roman" w:hAnsi="Times New Roman" w:cs="Times New Roman"/>
          <w:sz w:val="24"/>
          <w:szCs w:val="24"/>
        </w:rPr>
        <w:t>, A. (2013).</w:t>
      </w:r>
      <w:proofErr w:type="gramEnd"/>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Playing the piper: the high cost of funerals in South Africa.</w:t>
      </w:r>
      <w:proofErr w:type="gramEnd"/>
      <w:r w:rsidRPr="007E34E5">
        <w:rPr>
          <w:rFonts w:ascii="Times New Roman" w:hAnsi="Times New Roman" w:cs="Times New Roman"/>
          <w:sz w:val="24"/>
          <w:szCs w:val="24"/>
        </w:rPr>
        <w:t xml:space="preserve"> </w:t>
      </w:r>
      <w:r w:rsidRPr="007E34E5">
        <w:rPr>
          <w:rFonts w:ascii="Times New Roman" w:hAnsi="Times New Roman" w:cs="Times New Roman"/>
          <w:i/>
          <w:sz w:val="24"/>
          <w:szCs w:val="24"/>
        </w:rPr>
        <w:t>Economic Development Cultural Change, 62: 1-20.</w:t>
      </w:r>
    </w:p>
    <w:p w:rsidR="00203B26" w:rsidRPr="007E34E5" w:rsidRDefault="00203B26" w:rsidP="007E34E5">
      <w:pPr>
        <w:autoSpaceDE w:val="0"/>
        <w:autoSpaceDN w:val="0"/>
        <w:adjustRightInd w:val="0"/>
        <w:spacing w:line="240" w:lineRule="auto"/>
        <w:ind w:left="720" w:hanging="720"/>
        <w:jc w:val="both"/>
        <w:rPr>
          <w:rFonts w:ascii="Times New Roman" w:hAnsi="Times New Roman" w:cs="Times New Roman"/>
          <w:sz w:val="24"/>
          <w:szCs w:val="24"/>
        </w:rPr>
      </w:pPr>
      <w:proofErr w:type="spellStart"/>
      <w:proofErr w:type="gramStart"/>
      <w:r w:rsidRPr="007E34E5">
        <w:rPr>
          <w:rFonts w:ascii="Times New Roman" w:hAnsi="Times New Roman" w:cs="Times New Roman"/>
          <w:sz w:val="24"/>
          <w:szCs w:val="24"/>
        </w:rPr>
        <w:t>Chawla</w:t>
      </w:r>
      <w:proofErr w:type="spellEnd"/>
      <w:r w:rsidRPr="007E34E5">
        <w:rPr>
          <w:rFonts w:ascii="Times New Roman" w:hAnsi="Times New Roman" w:cs="Times New Roman"/>
          <w:sz w:val="24"/>
          <w:szCs w:val="24"/>
        </w:rPr>
        <w:t xml:space="preserve">, D. and </w:t>
      </w:r>
      <w:proofErr w:type="spellStart"/>
      <w:r w:rsidRPr="007E34E5">
        <w:rPr>
          <w:rFonts w:ascii="Times New Roman" w:hAnsi="Times New Roman" w:cs="Times New Roman"/>
          <w:sz w:val="24"/>
          <w:szCs w:val="24"/>
        </w:rPr>
        <w:t>Sondhi</w:t>
      </w:r>
      <w:proofErr w:type="spellEnd"/>
      <w:r w:rsidRPr="007E34E5">
        <w:rPr>
          <w:rFonts w:ascii="Times New Roman" w:hAnsi="Times New Roman" w:cs="Times New Roman"/>
          <w:sz w:val="24"/>
          <w:szCs w:val="24"/>
        </w:rPr>
        <w:t>, N. (2014).</w:t>
      </w:r>
      <w:proofErr w:type="gramEnd"/>
      <w:r w:rsidRPr="007E34E5">
        <w:rPr>
          <w:rFonts w:ascii="Times New Roman" w:hAnsi="Times New Roman" w:cs="Times New Roman"/>
          <w:sz w:val="24"/>
          <w:szCs w:val="24"/>
        </w:rPr>
        <w:t xml:space="preserve"> </w:t>
      </w:r>
      <w:r w:rsidRPr="007E34E5">
        <w:rPr>
          <w:rFonts w:ascii="Times New Roman" w:hAnsi="Times New Roman" w:cs="Times New Roman"/>
          <w:i/>
          <w:sz w:val="24"/>
          <w:szCs w:val="24"/>
        </w:rPr>
        <w:t>Research methodology: Concepts and cases.</w:t>
      </w:r>
      <w:r w:rsidRPr="007E34E5">
        <w:rPr>
          <w:rFonts w:ascii="Times New Roman" w:hAnsi="Times New Roman" w:cs="Times New Roman"/>
          <w:sz w:val="24"/>
          <w:szCs w:val="24"/>
        </w:rPr>
        <w:t xml:space="preserve"> New Delhi: </w:t>
      </w:r>
      <w:proofErr w:type="spellStart"/>
      <w:r w:rsidRPr="007E34E5">
        <w:rPr>
          <w:rFonts w:ascii="Times New Roman" w:hAnsi="Times New Roman" w:cs="Times New Roman"/>
          <w:sz w:val="24"/>
          <w:szCs w:val="24"/>
        </w:rPr>
        <w:t>Vikas</w:t>
      </w:r>
      <w:proofErr w:type="spellEnd"/>
      <w:r w:rsidRPr="007E34E5">
        <w:rPr>
          <w:rFonts w:ascii="Times New Roman" w:hAnsi="Times New Roman" w:cs="Times New Roman"/>
          <w:sz w:val="24"/>
          <w:szCs w:val="24"/>
        </w:rPr>
        <w:t xml:space="preserve"> publishing house.</w:t>
      </w:r>
    </w:p>
    <w:p w:rsidR="00203B26" w:rsidRPr="007E34E5" w:rsidRDefault="00203B26" w:rsidP="007E34E5">
      <w:pPr>
        <w:spacing w:line="240" w:lineRule="auto"/>
        <w:ind w:left="630" w:hanging="630"/>
        <w:jc w:val="both"/>
        <w:rPr>
          <w:rFonts w:ascii="Times New Roman" w:hAnsi="Times New Roman" w:cs="Times New Roman"/>
          <w:sz w:val="24"/>
          <w:szCs w:val="24"/>
        </w:rPr>
      </w:pPr>
      <w:proofErr w:type="gramStart"/>
      <w:r w:rsidRPr="007E34E5">
        <w:rPr>
          <w:rFonts w:ascii="Times New Roman" w:hAnsi="Times New Roman" w:cs="Times New Roman"/>
          <w:sz w:val="24"/>
          <w:szCs w:val="24"/>
        </w:rPr>
        <w:t>Cochrane, L. and Thornton, A. (2017).</w:t>
      </w:r>
      <w:proofErr w:type="gramEnd"/>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A socio-cultural analysis of smallholder borrowing and debt in Southern Ethiopia.</w:t>
      </w:r>
      <w:proofErr w:type="gramEnd"/>
      <w:r w:rsidRPr="007E34E5">
        <w:rPr>
          <w:rFonts w:ascii="Times New Roman" w:hAnsi="Times New Roman" w:cs="Times New Roman"/>
          <w:sz w:val="24"/>
          <w:szCs w:val="24"/>
        </w:rPr>
        <w:t xml:space="preserve"> </w:t>
      </w:r>
      <w:r w:rsidRPr="007E34E5">
        <w:rPr>
          <w:rFonts w:ascii="Times New Roman" w:hAnsi="Times New Roman" w:cs="Times New Roman"/>
          <w:i/>
          <w:sz w:val="24"/>
          <w:szCs w:val="24"/>
        </w:rPr>
        <w:t>Journal of Rural Studies</w:t>
      </w:r>
      <w:r w:rsidRPr="007E34E5">
        <w:rPr>
          <w:rFonts w:ascii="Times New Roman" w:hAnsi="Times New Roman" w:cs="Times New Roman"/>
          <w:sz w:val="24"/>
          <w:szCs w:val="24"/>
        </w:rPr>
        <w:t>, 49(2017): 69-77.</w:t>
      </w:r>
    </w:p>
    <w:p w:rsidR="00203B26" w:rsidRPr="007E34E5" w:rsidRDefault="00203B26" w:rsidP="007E34E5">
      <w:pPr>
        <w:spacing w:line="240" w:lineRule="auto"/>
        <w:ind w:left="720" w:hanging="720"/>
        <w:jc w:val="both"/>
        <w:rPr>
          <w:rFonts w:ascii="Times New Roman" w:hAnsi="Times New Roman" w:cs="Times New Roman"/>
          <w:sz w:val="24"/>
          <w:szCs w:val="24"/>
        </w:rPr>
      </w:pPr>
      <w:proofErr w:type="spellStart"/>
      <w:r w:rsidRPr="007E34E5">
        <w:rPr>
          <w:rFonts w:ascii="Times New Roman" w:hAnsi="Times New Roman" w:cs="Times New Roman"/>
          <w:sz w:val="24"/>
          <w:szCs w:val="24"/>
        </w:rPr>
        <w:t>Daasi</w:t>
      </w:r>
      <w:proofErr w:type="spellEnd"/>
      <w:r w:rsidRPr="007E34E5">
        <w:rPr>
          <w:rFonts w:ascii="Times New Roman" w:hAnsi="Times New Roman" w:cs="Times New Roman"/>
          <w:sz w:val="24"/>
          <w:szCs w:val="24"/>
        </w:rPr>
        <w:t xml:space="preserve">, G.L.K. (2014). </w:t>
      </w:r>
      <w:r w:rsidRPr="007E34E5">
        <w:rPr>
          <w:rFonts w:ascii="Times New Roman" w:hAnsi="Times New Roman" w:cs="Times New Roman"/>
          <w:i/>
          <w:sz w:val="24"/>
          <w:szCs w:val="24"/>
        </w:rPr>
        <w:t>Traditional financial institutions and the growth of rural enterprises: Evidence from Rivers State</w:t>
      </w:r>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PhD Thesis.</w:t>
      </w:r>
      <w:proofErr w:type="gramEnd"/>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University of Uyo, Uyo Nigeria, 137p.</w:t>
      </w:r>
      <w:proofErr w:type="gramEnd"/>
    </w:p>
    <w:p w:rsidR="00203B26" w:rsidRPr="007E34E5" w:rsidRDefault="00203B26" w:rsidP="007E34E5">
      <w:pPr>
        <w:spacing w:line="240" w:lineRule="auto"/>
        <w:ind w:left="720" w:hanging="720"/>
        <w:jc w:val="both"/>
        <w:rPr>
          <w:rFonts w:ascii="Times New Roman" w:hAnsi="Times New Roman" w:cs="Times New Roman"/>
          <w:sz w:val="24"/>
          <w:szCs w:val="24"/>
        </w:rPr>
      </w:pPr>
      <w:proofErr w:type="spellStart"/>
      <w:proofErr w:type="gramStart"/>
      <w:r w:rsidRPr="007E34E5">
        <w:rPr>
          <w:rFonts w:ascii="Times New Roman" w:hAnsi="Times New Roman" w:cs="Times New Roman"/>
          <w:sz w:val="24"/>
          <w:szCs w:val="24"/>
        </w:rPr>
        <w:t>Dudwick</w:t>
      </w:r>
      <w:proofErr w:type="spellEnd"/>
      <w:r w:rsidRPr="007E34E5">
        <w:rPr>
          <w:rFonts w:ascii="Times New Roman" w:hAnsi="Times New Roman" w:cs="Times New Roman"/>
          <w:sz w:val="24"/>
          <w:szCs w:val="24"/>
        </w:rPr>
        <w:t xml:space="preserve">, H., Hull, K., Katayama, R., </w:t>
      </w:r>
      <w:proofErr w:type="spellStart"/>
      <w:r w:rsidRPr="007E34E5">
        <w:rPr>
          <w:rFonts w:ascii="Times New Roman" w:hAnsi="Times New Roman" w:cs="Times New Roman"/>
          <w:sz w:val="24"/>
          <w:szCs w:val="24"/>
        </w:rPr>
        <w:t>Shilpi</w:t>
      </w:r>
      <w:proofErr w:type="spellEnd"/>
      <w:r w:rsidRPr="007E34E5">
        <w:rPr>
          <w:rFonts w:ascii="Times New Roman" w:hAnsi="Times New Roman" w:cs="Times New Roman"/>
          <w:sz w:val="24"/>
          <w:szCs w:val="24"/>
        </w:rPr>
        <w:t xml:space="preserve">, F., and </w:t>
      </w:r>
      <w:proofErr w:type="spellStart"/>
      <w:r w:rsidRPr="007E34E5">
        <w:rPr>
          <w:rFonts w:ascii="Times New Roman" w:hAnsi="Times New Roman" w:cs="Times New Roman"/>
          <w:sz w:val="24"/>
          <w:szCs w:val="24"/>
        </w:rPr>
        <w:t>Simler</w:t>
      </w:r>
      <w:proofErr w:type="spellEnd"/>
      <w:r w:rsidRPr="007E34E5">
        <w:rPr>
          <w:rFonts w:ascii="Times New Roman" w:hAnsi="Times New Roman" w:cs="Times New Roman"/>
          <w:sz w:val="24"/>
          <w:szCs w:val="24"/>
        </w:rPr>
        <w:t>, K. (2011).</w:t>
      </w:r>
      <w:proofErr w:type="gramEnd"/>
      <w:r w:rsidRPr="007E34E5">
        <w:rPr>
          <w:rFonts w:ascii="Times New Roman" w:hAnsi="Times New Roman" w:cs="Times New Roman"/>
          <w:sz w:val="24"/>
          <w:szCs w:val="24"/>
        </w:rPr>
        <w:t xml:space="preserve"> </w:t>
      </w:r>
      <w:r w:rsidRPr="007E34E5">
        <w:rPr>
          <w:rFonts w:ascii="Times New Roman" w:hAnsi="Times New Roman" w:cs="Times New Roman"/>
          <w:i/>
          <w:sz w:val="24"/>
          <w:szCs w:val="24"/>
        </w:rPr>
        <w:t>From farm to firm: Rural-urban transition in developing countries.</w:t>
      </w:r>
      <w:r w:rsidRPr="007E34E5">
        <w:rPr>
          <w:rFonts w:ascii="Times New Roman" w:hAnsi="Times New Roman" w:cs="Times New Roman"/>
          <w:sz w:val="24"/>
          <w:szCs w:val="24"/>
        </w:rPr>
        <w:t xml:space="preserve"> Washington DC: The World Bank.</w:t>
      </w:r>
    </w:p>
    <w:p w:rsidR="00203B26" w:rsidRPr="007E34E5" w:rsidRDefault="00203B26" w:rsidP="007E34E5">
      <w:pPr>
        <w:spacing w:line="240" w:lineRule="auto"/>
        <w:ind w:left="720" w:hanging="720"/>
        <w:jc w:val="both"/>
        <w:rPr>
          <w:rFonts w:ascii="Times New Roman" w:hAnsi="Times New Roman" w:cs="Times New Roman"/>
          <w:i/>
          <w:sz w:val="24"/>
          <w:szCs w:val="24"/>
        </w:rPr>
      </w:pPr>
      <w:proofErr w:type="spellStart"/>
      <w:proofErr w:type="gramStart"/>
      <w:r w:rsidRPr="007E34E5">
        <w:rPr>
          <w:rFonts w:ascii="Times New Roman" w:hAnsi="Times New Roman" w:cs="Times New Roman"/>
          <w:sz w:val="24"/>
          <w:szCs w:val="24"/>
        </w:rPr>
        <w:t>Ehirim</w:t>
      </w:r>
      <w:proofErr w:type="spellEnd"/>
      <w:r w:rsidRPr="007E34E5">
        <w:rPr>
          <w:rFonts w:ascii="Times New Roman" w:hAnsi="Times New Roman" w:cs="Times New Roman"/>
          <w:sz w:val="24"/>
          <w:szCs w:val="24"/>
        </w:rPr>
        <w:t xml:space="preserve">, N.C. and </w:t>
      </w:r>
      <w:proofErr w:type="spellStart"/>
      <w:r w:rsidRPr="007E34E5">
        <w:rPr>
          <w:rFonts w:ascii="Times New Roman" w:hAnsi="Times New Roman" w:cs="Times New Roman"/>
          <w:sz w:val="24"/>
          <w:szCs w:val="24"/>
        </w:rPr>
        <w:t>Oguoma</w:t>
      </w:r>
      <w:proofErr w:type="spellEnd"/>
      <w:r w:rsidRPr="007E34E5">
        <w:rPr>
          <w:rFonts w:ascii="Times New Roman" w:hAnsi="Times New Roman" w:cs="Times New Roman"/>
          <w:sz w:val="24"/>
          <w:szCs w:val="24"/>
        </w:rPr>
        <w:t>, N.N.O. (2013).</w:t>
      </w:r>
      <w:proofErr w:type="gramEnd"/>
      <w:r w:rsidRPr="007E34E5">
        <w:rPr>
          <w:rFonts w:ascii="Times New Roman" w:hAnsi="Times New Roman" w:cs="Times New Roman"/>
          <w:sz w:val="24"/>
          <w:szCs w:val="24"/>
        </w:rPr>
        <w:t xml:space="preserve"> Estimating </w:t>
      </w:r>
      <w:proofErr w:type="gramStart"/>
      <w:r w:rsidRPr="007E34E5">
        <w:rPr>
          <w:rFonts w:ascii="Times New Roman" w:hAnsi="Times New Roman" w:cs="Times New Roman"/>
          <w:sz w:val="24"/>
          <w:szCs w:val="24"/>
        </w:rPr>
        <w:t>farmers</w:t>
      </w:r>
      <w:proofErr w:type="gramEnd"/>
      <w:r w:rsidRPr="007E34E5">
        <w:rPr>
          <w:rFonts w:ascii="Times New Roman" w:hAnsi="Times New Roman" w:cs="Times New Roman"/>
          <w:sz w:val="24"/>
          <w:szCs w:val="24"/>
        </w:rPr>
        <w:t xml:space="preserve"> patronage level of informal credit in Imo state: Implication for efficient formal and informal financial linkage and rural development. </w:t>
      </w:r>
      <w:r w:rsidRPr="007E34E5">
        <w:rPr>
          <w:rFonts w:ascii="Times New Roman" w:hAnsi="Times New Roman" w:cs="Times New Roman"/>
          <w:i/>
          <w:sz w:val="24"/>
          <w:szCs w:val="24"/>
        </w:rPr>
        <w:t xml:space="preserve">Africa Journal of Agricultural Research, </w:t>
      </w:r>
      <w:r w:rsidRPr="007E34E5">
        <w:rPr>
          <w:rFonts w:ascii="Times New Roman" w:hAnsi="Times New Roman" w:cs="Times New Roman"/>
          <w:sz w:val="24"/>
          <w:szCs w:val="24"/>
        </w:rPr>
        <w:t>8(49): 6439-6445</w:t>
      </w:r>
      <w:r w:rsidRPr="007E34E5">
        <w:rPr>
          <w:rFonts w:ascii="Times New Roman" w:hAnsi="Times New Roman" w:cs="Times New Roman"/>
          <w:i/>
          <w:sz w:val="24"/>
          <w:szCs w:val="24"/>
        </w:rPr>
        <w:t>.</w:t>
      </w:r>
    </w:p>
    <w:p w:rsidR="00203B26" w:rsidRPr="007E34E5" w:rsidRDefault="00203B26" w:rsidP="007E34E5">
      <w:pPr>
        <w:autoSpaceDE w:val="0"/>
        <w:autoSpaceDN w:val="0"/>
        <w:adjustRightInd w:val="0"/>
        <w:spacing w:line="240" w:lineRule="auto"/>
        <w:ind w:left="720" w:hanging="720"/>
        <w:jc w:val="both"/>
        <w:rPr>
          <w:rFonts w:ascii="Times New Roman" w:hAnsi="Times New Roman" w:cs="Times New Roman"/>
          <w:sz w:val="24"/>
          <w:szCs w:val="24"/>
        </w:rPr>
      </w:pPr>
      <w:proofErr w:type="spellStart"/>
      <w:r w:rsidRPr="007E34E5">
        <w:rPr>
          <w:rFonts w:ascii="Times New Roman" w:hAnsi="Times New Roman" w:cs="Times New Roman"/>
          <w:iCs/>
          <w:sz w:val="24"/>
          <w:szCs w:val="24"/>
        </w:rPr>
        <w:t>Ekong</w:t>
      </w:r>
      <w:proofErr w:type="spellEnd"/>
      <w:r w:rsidRPr="007E34E5">
        <w:rPr>
          <w:rFonts w:ascii="Times New Roman" w:hAnsi="Times New Roman" w:cs="Times New Roman"/>
          <w:iCs/>
          <w:sz w:val="24"/>
          <w:szCs w:val="24"/>
        </w:rPr>
        <w:t xml:space="preserve">, E.E. (2010). </w:t>
      </w:r>
      <w:proofErr w:type="gramStart"/>
      <w:r w:rsidRPr="007E34E5">
        <w:rPr>
          <w:rFonts w:ascii="Times New Roman" w:hAnsi="Times New Roman" w:cs="Times New Roman"/>
          <w:i/>
          <w:iCs/>
          <w:sz w:val="24"/>
          <w:szCs w:val="24"/>
        </w:rPr>
        <w:t>Rural Sociology.</w:t>
      </w:r>
      <w:proofErr w:type="gramEnd"/>
      <w:r w:rsidRPr="007E34E5">
        <w:rPr>
          <w:rFonts w:ascii="Times New Roman" w:hAnsi="Times New Roman" w:cs="Times New Roman"/>
          <w:iCs/>
          <w:sz w:val="24"/>
          <w:szCs w:val="24"/>
        </w:rPr>
        <w:t xml:space="preserve"> </w:t>
      </w:r>
      <w:proofErr w:type="gramStart"/>
      <w:r w:rsidRPr="007E34E5">
        <w:rPr>
          <w:rFonts w:ascii="Times New Roman" w:hAnsi="Times New Roman" w:cs="Times New Roman"/>
          <w:iCs/>
          <w:sz w:val="24"/>
          <w:szCs w:val="24"/>
        </w:rPr>
        <w:t>3rd Edition.</w:t>
      </w:r>
      <w:proofErr w:type="gramEnd"/>
      <w:r w:rsidRPr="007E34E5">
        <w:rPr>
          <w:rFonts w:ascii="Times New Roman" w:hAnsi="Times New Roman" w:cs="Times New Roman"/>
          <w:iCs/>
          <w:sz w:val="24"/>
          <w:szCs w:val="24"/>
        </w:rPr>
        <w:t xml:space="preserve"> </w:t>
      </w:r>
      <w:proofErr w:type="gramStart"/>
      <w:r w:rsidRPr="007E34E5">
        <w:rPr>
          <w:rFonts w:ascii="Times New Roman" w:hAnsi="Times New Roman" w:cs="Times New Roman"/>
          <w:iCs/>
          <w:sz w:val="24"/>
          <w:szCs w:val="24"/>
        </w:rPr>
        <w:t>Dove educational publishers, Uyo.</w:t>
      </w:r>
      <w:proofErr w:type="gramEnd"/>
    </w:p>
    <w:p w:rsidR="00203B26" w:rsidRPr="007E34E5" w:rsidRDefault="00203B26" w:rsidP="007E34E5">
      <w:pPr>
        <w:spacing w:line="240" w:lineRule="auto"/>
        <w:ind w:left="720" w:hanging="720"/>
        <w:jc w:val="both"/>
        <w:rPr>
          <w:rFonts w:ascii="Times New Roman" w:hAnsi="Times New Roman" w:cs="Times New Roman"/>
          <w:i/>
          <w:sz w:val="24"/>
          <w:szCs w:val="24"/>
        </w:rPr>
      </w:pPr>
      <w:proofErr w:type="spellStart"/>
      <w:proofErr w:type="gramStart"/>
      <w:r w:rsidRPr="007E34E5">
        <w:rPr>
          <w:rFonts w:ascii="Times New Roman" w:hAnsi="Times New Roman" w:cs="Times New Roman"/>
          <w:sz w:val="24"/>
          <w:szCs w:val="24"/>
        </w:rPr>
        <w:t>Essien</w:t>
      </w:r>
      <w:proofErr w:type="spellEnd"/>
      <w:r w:rsidRPr="007E34E5">
        <w:rPr>
          <w:rFonts w:ascii="Times New Roman" w:hAnsi="Times New Roman" w:cs="Times New Roman"/>
          <w:sz w:val="24"/>
          <w:szCs w:val="24"/>
        </w:rPr>
        <w:t xml:space="preserve">, E.B., </w:t>
      </w:r>
      <w:proofErr w:type="spellStart"/>
      <w:r w:rsidRPr="007E34E5">
        <w:rPr>
          <w:rFonts w:ascii="Times New Roman" w:hAnsi="Times New Roman" w:cs="Times New Roman"/>
          <w:sz w:val="24"/>
          <w:szCs w:val="24"/>
        </w:rPr>
        <w:t>Ugwu</w:t>
      </w:r>
      <w:proofErr w:type="spellEnd"/>
      <w:r w:rsidRPr="007E34E5">
        <w:rPr>
          <w:rFonts w:ascii="Times New Roman" w:hAnsi="Times New Roman" w:cs="Times New Roman"/>
          <w:sz w:val="24"/>
          <w:szCs w:val="24"/>
        </w:rPr>
        <w:t xml:space="preserve">, O.K., and </w:t>
      </w:r>
      <w:proofErr w:type="spellStart"/>
      <w:r w:rsidRPr="007E34E5">
        <w:rPr>
          <w:rFonts w:ascii="Times New Roman" w:hAnsi="Times New Roman" w:cs="Times New Roman"/>
          <w:sz w:val="24"/>
          <w:szCs w:val="24"/>
        </w:rPr>
        <w:t>Daasi</w:t>
      </w:r>
      <w:proofErr w:type="spellEnd"/>
      <w:r w:rsidRPr="007E34E5">
        <w:rPr>
          <w:rFonts w:ascii="Times New Roman" w:hAnsi="Times New Roman" w:cs="Times New Roman"/>
          <w:sz w:val="24"/>
          <w:szCs w:val="24"/>
        </w:rPr>
        <w:t>, G.L.K. (2014).</w:t>
      </w:r>
      <w:proofErr w:type="gramEnd"/>
      <w:r w:rsidRPr="007E34E5">
        <w:rPr>
          <w:rFonts w:ascii="Times New Roman" w:hAnsi="Times New Roman" w:cs="Times New Roman"/>
          <w:sz w:val="24"/>
          <w:szCs w:val="24"/>
        </w:rPr>
        <w:t xml:space="preserve"> Traditional financial institutions and rural enterprises in Nigeria: The case of </w:t>
      </w:r>
      <w:proofErr w:type="spellStart"/>
      <w:r w:rsidRPr="007E34E5">
        <w:rPr>
          <w:rFonts w:ascii="Times New Roman" w:hAnsi="Times New Roman" w:cs="Times New Roman"/>
          <w:sz w:val="24"/>
          <w:szCs w:val="24"/>
        </w:rPr>
        <w:t>Ogoniland</w:t>
      </w:r>
      <w:proofErr w:type="spellEnd"/>
      <w:r w:rsidRPr="007E34E5">
        <w:rPr>
          <w:rFonts w:ascii="Times New Roman" w:hAnsi="Times New Roman" w:cs="Times New Roman"/>
          <w:sz w:val="24"/>
          <w:szCs w:val="24"/>
        </w:rPr>
        <w:t xml:space="preserve">. </w:t>
      </w:r>
      <w:r w:rsidRPr="007E34E5">
        <w:rPr>
          <w:rFonts w:ascii="Times New Roman" w:hAnsi="Times New Roman" w:cs="Times New Roman"/>
          <w:i/>
          <w:sz w:val="24"/>
          <w:szCs w:val="24"/>
        </w:rPr>
        <w:t>International Journal of Current Research and Review, 4(21):01-16.</w:t>
      </w:r>
    </w:p>
    <w:p w:rsidR="00203B26" w:rsidRPr="007E34E5" w:rsidRDefault="00203B26" w:rsidP="007E34E5">
      <w:pPr>
        <w:spacing w:line="240" w:lineRule="auto"/>
        <w:ind w:left="630" w:hanging="630"/>
        <w:jc w:val="both"/>
        <w:rPr>
          <w:rFonts w:ascii="Times New Roman" w:hAnsi="Times New Roman" w:cs="Times New Roman"/>
          <w:sz w:val="24"/>
          <w:szCs w:val="24"/>
        </w:rPr>
      </w:pPr>
      <w:r w:rsidRPr="007E34E5">
        <w:rPr>
          <w:rFonts w:ascii="Times New Roman" w:hAnsi="Times New Roman" w:cs="Times New Roman"/>
          <w:sz w:val="24"/>
          <w:szCs w:val="24"/>
        </w:rPr>
        <w:t xml:space="preserve">Guerin, I., </w:t>
      </w:r>
      <w:proofErr w:type="spellStart"/>
      <w:r w:rsidRPr="007E34E5">
        <w:rPr>
          <w:rFonts w:ascii="Times New Roman" w:hAnsi="Times New Roman" w:cs="Times New Roman"/>
          <w:sz w:val="24"/>
          <w:szCs w:val="24"/>
        </w:rPr>
        <w:t>D’Espallier</w:t>
      </w:r>
      <w:proofErr w:type="spellEnd"/>
      <w:r w:rsidRPr="007E34E5">
        <w:rPr>
          <w:rFonts w:ascii="Times New Roman" w:hAnsi="Times New Roman" w:cs="Times New Roman"/>
          <w:sz w:val="24"/>
          <w:szCs w:val="24"/>
        </w:rPr>
        <w:t xml:space="preserve">, B., </w:t>
      </w:r>
      <w:proofErr w:type="spellStart"/>
      <w:r w:rsidRPr="007E34E5">
        <w:rPr>
          <w:rFonts w:ascii="Times New Roman" w:hAnsi="Times New Roman" w:cs="Times New Roman"/>
          <w:sz w:val="24"/>
          <w:szCs w:val="24"/>
        </w:rPr>
        <w:t>Venkatasubramanian</w:t>
      </w:r>
      <w:proofErr w:type="spellEnd"/>
      <w:r w:rsidRPr="007E34E5">
        <w:rPr>
          <w:rFonts w:ascii="Times New Roman" w:hAnsi="Times New Roman" w:cs="Times New Roman"/>
          <w:sz w:val="24"/>
          <w:szCs w:val="24"/>
        </w:rPr>
        <w:t xml:space="preserve">, G. (2013). Debt in rural South India: fragmentation, social regulation and discrimination. </w:t>
      </w:r>
      <w:r w:rsidRPr="007E34E5">
        <w:rPr>
          <w:rFonts w:ascii="Times New Roman" w:hAnsi="Times New Roman" w:cs="Times New Roman"/>
          <w:i/>
          <w:sz w:val="24"/>
          <w:szCs w:val="24"/>
        </w:rPr>
        <w:t>Journal of Development Studies</w:t>
      </w:r>
      <w:r w:rsidRPr="007E34E5">
        <w:rPr>
          <w:rFonts w:ascii="Times New Roman" w:hAnsi="Times New Roman" w:cs="Times New Roman"/>
          <w:sz w:val="24"/>
          <w:szCs w:val="24"/>
        </w:rPr>
        <w:t xml:space="preserve">, 49(9):1155-1171. </w:t>
      </w:r>
    </w:p>
    <w:p w:rsidR="00203B26" w:rsidRPr="007E34E5" w:rsidRDefault="00203B26" w:rsidP="007E34E5">
      <w:pPr>
        <w:autoSpaceDE w:val="0"/>
        <w:autoSpaceDN w:val="0"/>
        <w:adjustRightInd w:val="0"/>
        <w:spacing w:line="240" w:lineRule="auto"/>
        <w:ind w:left="720" w:hanging="720"/>
        <w:jc w:val="both"/>
        <w:rPr>
          <w:rFonts w:ascii="Times New Roman" w:hAnsi="Times New Roman" w:cs="Times New Roman"/>
          <w:sz w:val="24"/>
          <w:szCs w:val="24"/>
        </w:rPr>
      </w:pPr>
      <w:r w:rsidRPr="007E34E5">
        <w:rPr>
          <w:rFonts w:ascii="Times New Roman" w:hAnsi="Times New Roman" w:cs="Times New Roman"/>
          <w:sz w:val="24"/>
          <w:szCs w:val="24"/>
        </w:rPr>
        <w:lastRenderedPageBreak/>
        <w:t xml:space="preserve">Haugen, N. (2005). </w:t>
      </w:r>
      <w:r w:rsidRPr="007E34E5">
        <w:rPr>
          <w:rFonts w:ascii="Times New Roman" w:hAnsi="Times New Roman" w:cs="Times New Roman"/>
          <w:i/>
          <w:sz w:val="24"/>
          <w:szCs w:val="24"/>
        </w:rPr>
        <w:t>The informal credit market: A study of default and informal lending in Nepal.</w:t>
      </w:r>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MSc Dissertation.</w:t>
      </w:r>
      <w:proofErr w:type="gramEnd"/>
      <w:r w:rsidRPr="007E34E5">
        <w:rPr>
          <w:rFonts w:ascii="Times New Roman" w:hAnsi="Times New Roman" w:cs="Times New Roman"/>
          <w:sz w:val="24"/>
          <w:szCs w:val="24"/>
        </w:rPr>
        <w:t xml:space="preserve"> Un</w:t>
      </w:r>
      <w:r>
        <w:rPr>
          <w:rFonts w:ascii="Times New Roman" w:hAnsi="Times New Roman" w:cs="Times New Roman"/>
          <w:sz w:val="24"/>
          <w:szCs w:val="24"/>
        </w:rPr>
        <w:t>iversity of Bergen, Norway.</w:t>
      </w:r>
    </w:p>
    <w:p w:rsidR="00203B26" w:rsidRPr="007E34E5" w:rsidRDefault="00203B26" w:rsidP="007E34E5">
      <w:pPr>
        <w:spacing w:line="240" w:lineRule="auto"/>
        <w:ind w:left="630" w:hanging="630"/>
        <w:jc w:val="both"/>
        <w:rPr>
          <w:rFonts w:ascii="Times New Roman" w:hAnsi="Times New Roman" w:cs="Times New Roman"/>
          <w:caps/>
          <w:sz w:val="24"/>
          <w:szCs w:val="24"/>
        </w:rPr>
      </w:pPr>
      <w:proofErr w:type="spellStart"/>
      <w:proofErr w:type="gramStart"/>
      <w:r w:rsidRPr="007E34E5">
        <w:rPr>
          <w:rFonts w:ascii="Times New Roman" w:hAnsi="Times New Roman" w:cs="Times New Roman"/>
          <w:sz w:val="24"/>
          <w:szCs w:val="24"/>
        </w:rPr>
        <w:t>Jeiyol</w:t>
      </w:r>
      <w:proofErr w:type="spellEnd"/>
      <w:r w:rsidRPr="007E34E5">
        <w:rPr>
          <w:rFonts w:ascii="Times New Roman" w:hAnsi="Times New Roman" w:cs="Times New Roman"/>
          <w:sz w:val="24"/>
          <w:szCs w:val="24"/>
        </w:rPr>
        <w:t xml:space="preserve">, E.N., </w:t>
      </w:r>
      <w:proofErr w:type="spellStart"/>
      <w:r w:rsidRPr="007E34E5">
        <w:rPr>
          <w:rFonts w:ascii="Times New Roman" w:hAnsi="Times New Roman" w:cs="Times New Roman"/>
          <w:sz w:val="24"/>
          <w:szCs w:val="24"/>
        </w:rPr>
        <w:t>Akpan</w:t>
      </w:r>
      <w:proofErr w:type="spellEnd"/>
      <w:r w:rsidRPr="007E34E5">
        <w:rPr>
          <w:rFonts w:ascii="Times New Roman" w:hAnsi="Times New Roman" w:cs="Times New Roman"/>
          <w:sz w:val="24"/>
          <w:szCs w:val="24"/>
        </w:rPr>
        <w:t>, S. B. and Tee, T. N. (2013).</w:t>
      </w:r>
      <w:proofErr w:type="gramEnd"/>
      <w:r w:rsidRPr="007E34E5">
        <w:rPr>
          <w:rFonts w:ascii="Times New Roman" w:hAnsi="Times New Roman" w:cs="Times New Roman"/>
          <w:sz w:val="24"/>
          <w:szCs w:val="24"/>
        </w:rPr>
        <w:t xml:space="preserve"> </w:t>
      </w:r>
      <w:proofErr w:type="gramStart"/>
      <w:r w:rsidRPr="007E34E5">
        <w:rPr>
          <w:rFonts w:ascii="Times New Roman" w:hAnsi="Times New Roman" w:cs="Times New Roman"/>
          <w:sz w:val="24"/>
          <w:szCs w:val="24"/>
        </w:rPr>
        <w:t>Gender analysis of access to credit by rural small scale farmers in Benue State, Nigeria.</w:t>
      </w:r>
      <w:proofErr w:type="gramEnd"/>
      <w:r w:rsidRPr="007E34E5">
        <w:rPr>
          <w:rFonts w:ascii="Times New Roman" w:hAnsi="Times New Roman" w:cs="Times New Roman"/>
          <w:sz w:val="24"/>
          <w:szCs w:val="24"/>
        </w:rPr>
        <w:t xml:space="preserve"> </w:t>
      </w:r>
      <w:r w:rsidRPr="007E34E5">
        <w:rPr>
          <w:rFonts w:ascii="Times New Roman" w:hAnsi="Times New Roman" w:cs="Times New Roman"/>
          <w:i/>
          <w:sz w:val="24"/>
          <w:szCs w:val="24"/>
        </w:rPr>
        <w:t>American International Journal of Social Sciences,</w:t>
      </w:r>
      <w:r w:rsidRPr="007E34E5">
        <w:rPr>
          <w:rFonts w:ascii="Times New Roman" w:hAnsi="Times New Roman" w:cs="Times New Roman"/>
          <w:sz w:val="24"/>
          <w:szCs w:val="24"/>
        </w:rPr>
        <w:t xml:space="preserve"> 2(6):70-78.   </w:t>
      </w:r>
    </w:p>
    <w:p w:rsidR="00203B26" w:rsidRPr="007E34E5" w:rsidRDefault="00203B26" w:rsidP="007E34E5">
      <w:pPr>
        <w:pStyle w:val="Default"/>
        <w:ind w:left="720" w:hanging="720"/>
        <w:jc w:val="both"/>
        <w:rPr>
          <w:color w:val="auto"/>
        </w:rPr>
      </w:pPr>
      <w:proofErr w:type="spellStart"/>
      <w:proofErr w:type="gramStart"/>
      <w:r w:rsidRPr="007E34E5">
        <w:rPr>
          <w:color w:val="auto"/>
        </w:rPr>
        <w:t>Khandker</w:t>
      </w:r>
      <w:proofErr w:type="spellEnd"/>
      <w:r w:rsidRPr="007E34E5">
        <w:rPr>
          <w:color w:val="auto"/>
        </w:rPr>
        <w:t xml:space="preserve">, S. R., and </w:t>
      </w:r>
      <w:proofErr w:type="spellStart"/>
      <w:r w:rsidRPr="007E34E5">
        <w:rPr>
          <w:color w:val="auto"/>
        </w:rPr>
        <w:t>Koolwal</w:t>
      </w:r>
      <w:proofErr w:type="spellEnd"/>
      <w:r w:rsidRPr="007E34E5">
        <w:rPr>
          <w:color w:val="auto"/>
        </w:rPr>
        <w:t>, G. B. (2015).</w:t>
      </w:r>
      <w:proofErr w:type="gramEnd"/>
      <w:r w:rsidRPr="007E34E5">
        <w:rPr>
          <w:color w:val="auto"/>
        </w:rPr>
        <w:t xml:space="preserve"> How has microcredit supported agriculture? </w:t>
      </w:r>
      <w:proofErr w:type="gramStart"/>
      <w:r w:rsidRPr="007E34E5">
        <w:rPr>
          <w:color w:val="auto"/>
        </w:rPr>
        <w:t>Evidence using panel data from Bangladesh.</w:t>
      </w:r>
      <w:proofErr w:type="gramEnd"/>
      <w:r w:rsidRPr="007E34E5">
        <w:rPr>
          <w:color w:val="auto"/>
        </w:rPr>
        <w:t xml:space="preserve"> </w:t>
      </w:r>
      <w:proofErr w:type="gramStart"/>
      <w:r w:rsidRPr="007E34E5">
        <w:rPr>
          <w:i/>
          <w:iCs/>
          <w:color w:val="auto"/>
        </w:rPr>
        <w:t xml:space="preserve">Agricultural Economics, </w:t>
      </w:r>
      <w:r>
        <w:rPr>
          <w:iCs/>
          <w:color w:val="auto"/>
        </w:rPr>
        <w:t>47(2).</w:t>
      </w:r>
      <w:proofErr w:type="gramEnd"/>
    </w:p>
    <w:p w:rsidR="00203B26" w:rsidRDefault="00203B26" w:rsidP="007E34E5">
      <w:pPr>
        <w:pStyle w:val="Default"/>
        <w:ind w:left="720" w:hanging="720"/>
        <w:jc w:val="both"/>
        <w:rPr>
          <w:color w:val="auto"/>
        </w:rPr>
      </w:pPr>
    </w:p>
    <w:p w:rsidR="00203B26" w:rsidRPr="007E34E5" w:rsidRDefault="00203B26" w:rsidP="007E34E5">
      <w:pPr>
        <w:pStyle w:val="Default"/>
        <w:ind w:left="720" w:hanging="720"/>
        <w:jc w:val="both"/>
        <w:rPr>
          <w:color w:val="auto"/>
        </w:rPr>
      </w:pPr>
      <w:proofErr w:type="spellStart"/>
      <w:r w:rsidRPr="007E34E5">
        <w:rPr>
          <w:color w:val="auto"/>
        </w:rPr>
        <w:t>Kosgey</w:t>
      </w:r>
      <w:proofErr w:type="gramStart"/>
      <w:r w:rsidRPr="007E34E5">
        <w:rPr>
          <w:color w:val="auto"/>
        </w:rPr>
        <w:t>,Y</w:t>
      </w:r>
      <w:proofErr w:type="spellEnd"/>
      <w:proofErr w:type="gramEnd"/>
      <w:r w:rsidRPr="007E34E5">
        <w:rPr>
          <w:color w:val="auto"/>
        </w:rPr>
        <w:t xml:space="preserve">. K. K. (2013). </w:t>
      </w:r>
      <w:proofErr w:type="gramStart"/>
      <w:r w:rsidRPr="007E34E5">
        <w:rPr>
          <w:color w:val="auto"/>
        </w:rPr>
        <w:t xml:space="preserve">Agricultural credit access by grain growers in </w:t>
      </w:r>
      <w:proofErr w:type="spellStart"/>
      <w:r w:rsidRPr="007E34E5">
        <w:rPr>
          <w:color w:val="auto"/>
        </w:rPr>
        <w:t>Uasin-Gishu</w:t>
      </w:r>
      <w:proofErr w:type="spellEnd"/>
      <w:r w:rsidRPr="007E34E5">
        <w:rPr>
          <w:color w:val="auto"/>
        </w:rPr>
        <w:t xml:space="preserve"> Country, Kenya</w:t>
      </w:r>
      <w:r w:rsidRPr="007E34E5">
        <w:rPr>
          <w:i/>
          <w:iCs/>
          <w:color w:val="auto"/>
        </w:rPr>
        <w:t>.</w:t>
      </w:r>
      <w:proofErr w:type="gramEnd"/>
      <w:r w:rsidRPr="007E34E5">
        <w:rPr>
          <w:i/>
          <w:iCs/>
          <w:color w:val="auto"/>
        </w:rPr>
        <w:t xml:space="preserve"> IOSR-Journal of Economics and Finance, 2</w:t>
      </w:r>
      <w:r w:rsidRPr="007E34E5">
        <w:rPr>
          <w:color w:val="auto"/>
        </w:rPr>
        <w:t xml:space="preserve">(3): 36-52. </w:t>
      </w:r>
    </w:p>
    <w:p w:rsidR="00203B26" w:rsidRDefault="00203B26" w:rsidP="007E34E5">
      <w:pPr>
        <w:pStyle w:val="Default"/>
        <w:ind w:left="720" w:hanging="720"/>
        <w:jc w:val="both"/>
        <w:rPr>
          <w:color w:val="auto"/>
        </w:rPr>
      </w:pPr>
    </w:p>
    <w:p w:rsidR="00203B26" w:rsidRPr="007E34E5" w:rsidRDefault="00203B26" w:rsidP="007E34E5">
      <w:pPr>
        <w:pStyle w:val="Default"/>
        <w:ind w:left="720" w:hanging="720"/>
        <w:jc w:val="both"/>
        <w:rPr>
          <w:color w:val="auto"/>
        </w:rPr>
      </w:pPr>
      <w:r w:rsidRPr="007E34E5">
        <w:rPr>
          <w:color w:val="auto"/>
        </w:rPr>
        <w:t xml:space="preserve">Kumar, A., Singh, K. M., and </w:t>
      </w:r>
      <w:proofErr w:type="spellStart"/>
      <w:r w:rsidRPr="007E34E5">
        <w:rPr>
          <w:color w:val="auto"/>
        </w:rPr>
        <w:t>Sinha</w:t>
      </w:r>
      <w:proofErr w:type="spellEnd"/>
      <w:r w:rsidRPr="007E34E5">
        <w:rPr>
          <w:color w:val="auto"/>
        </w:rPr>
        <w:t xml:space="preserve">, S. (2010). Institutional credit to agriculture sector in India: Status, performance and determinants. </w:t>
      </w:r>
      <w:r w:rsidRPr="007E34E5">
        <w:rPr>
          <w:i/>
          <w:iCs/>
          <w:color w:val="auto"/>
        </w:rPr>
        <w:t>Agricultural Economics Research Review, 23</w:t>
      </w:r>
      <w:r>
        <w:rPr>
          <w:color w:val="auto"/>
        </w:rPr>
        <w:t>(2):</w:t>
      </w:r>
      <w:r w:rsidRPr="007E34E5">
        <w:rPr>
          <w:color w:val="auto"/>
        </w:rPr>
        <w:t xml:space="preserve"> 253-264.</w:t>
      </w:r>
    </w:p>
    <w:p w:rsidR="00203B26" w:rsidRDefault="00203B26" w:rsidP="007E34E5">
      <w:pPr>
        <w:pStyle w:val="Default"/>
        <w:ind w:left="720" w:hanging="720"/>
        <w:jc w:val="both"/>
        <w:rPr>
          <w:color w:val="auto"/>
        </w:rPr>
      </w:pPr>
    </w:p>
    <w:p w:rsidR="00203B26" w:rsidRPr="007E34E5" w:rsidRDefault="00203B26" w:rsidP="007E34E5">
      <w:pPr>
        <w:pStyle w:val="Default"/>
        <w:ind w:left="720" w:hanging="720"/>
        <w:jc w:val="both"/>
        <w:rPr>
          <w:color w:val="auto"/>
        </w:rPr>
      </w:pPr>
      <w:proofErr w:type="gramStart"/>
      <w:r w:rsidRPr="007E34E5">
        <w:rPr>
          <w:color w:val="auto"/>
        </w:rPr>
        <w:t xml:space="preserve">Kumar, C., </w:t>
      </w:r>
      <w:proofErr w:type="spellStart"/>
      <w:r w:rsidRPr="007E34E5">
        <w:rPr>
          <w:color w:val="auto"/>
        </w:rPr>
        <w:t>Turvey</w:t>
      </w:r>
      <w:proofErr w:type="spellEnd"/>
      <w:r w:rsidRPr="007E34E5">
        <w:rPr>
          <w:color w:val="auto"/>
        </w:rPr>
        <w:t xml:space="preserve">, C. G., and </w:t>
      </w:r>
      <w:proofErr w:type="spellStart"/>
      <w:r w:rsidRPr="007E34E5">
        <w:rPr>
          <w:color w:val="auto"/>
        </w:rPr>
        <w:t>Kropp</w:t>
      </w:r>
      <w:proofErr w:type="spellEnd"/>
      <w:r w:rsidRPr="007E34E5">
        <w:rPr>
          <w:color w:val="auto"/>
        </w:rPr>
        <w:t>, J. D. (2012).</w:t>
      </w:r>
      <w:proofErr w:type="gramEnd"/>
      <w:r w:rsidRPr="007E34E5">
        <w:rPr>
          <w:color w:val="auto"/>
        </w:rPr>
        <w:t xml:space="preserve"> The impact of credit constraint on farm households: Survey results from India and China. </w:t>
      </w:r>
      <w:r w:rsidRPr="007E34E5">
        <w:rPr>
          <w:i/>
          <w:color w:val="auto"/>
        </w:rPr>
        <w:t xml:space="preserve">Applied Economic Perspectives and Policy, </w:t>
      </w:r>
      <w:r w:rsidRPr="007E34E5">
        <w:rPr>
          <w:color w:val="auto"/>
        </w:rPr>
        <w:t>35(3):508-527</w:t>
      </w:r>
      <w:r w:rsidRPr="007E34E5">
        <w:rPr>
          <w:rStyle w:val="Hyperlink"/>
          <w:color w:val="auto"/>
          <w:u w:val="none"/>
        </w:rPr>
        <w:t>.</w:t>
      </w:r>
    </w:p>
    <w:p w:rsidR="00203B26" w:rsidRDefault="00203B26" w:rsidP="007E34E5">
      <w:pPr>
        <w:pStyle w:val="Default"/>
        <w:ind w:left="720" w:hanging="720"/>
        <w:jc w:val="both"/>
        <w:rPr>
          <w:color w:val="auto"/>
        </w:rPr>
      </w:pPr>
    </w:p>
    <w:p w:rsidR="00203B26" w:rsidRPr="007E34E5" w:rsidRDefault="00203B26" w:rsidP="007E34E5">
      <w:pPr>
        <w:pStyle w:val="Default"/>
        <w:ind w:left="720" w:hanging="720"/>
        <w:jc w:val="both"/>
        <w:rPr>
          <w:color w:val="auto"/>
        </w:rPr>
      </w:pPr>
      <w:proofErr w:type="spellStart"/>
      <w:proofErr w:type="gramStart"/>
      <w:r w:rsidRPr="007E34E5">
        <w:rPr>
          <w:color w:val="auto"/>
        </w:rPr>
        <w:t>Laoubi</w:t>
      </w:r>
      <w:proofErr w:type="spellEnd"/>
      <w:r w:rsidRPr="007E34E5">
        <w:rPr>
          <w:color w:val="auto"/>
        </w:rPr>
        <w:t xml:space="preserve">, K., and </w:t>
      </w:r>
      <w:proofErr w:type="spellStart"/>
      <w:r w:rsidRPr="007E34E5">
        <w:rPr>
          <w:color w:val="auto"/>
        </w:rPr>
        <w:t>Yamao</w:t>
      </w:r>
      <w:proofErr w:type="spellEnd"/>
      <w:r w:rsidRPr="007E34E5">
        <w:rPr>
          <w:color w:val="auto"/>
        </w:rPr>
        <w:t>, M. (2012).</w:t>
      </w:r>
      <w:proofErr w:type="gramEnd"/>
      <w:r w:rsidRPr="007E34E5">
        <w:rPr>
          <w:color w:val="auto"/>
        </w:rPr>
        <w:t xml:space="preserve"> The Challenge of agriculture in Algeria: Are policies effective? </w:t>
      </w:r>
      <w:r w:rsidRPr="007E34E5">
        <w:rPr>
          <w:i/>
          <w:iCs/>
          <w:color w:val="auto"/>
        </w:rPr>
        <w:t xml:space="preserve">Bulletin of Agricultural and Fisheries Economics, </w:t>
      </w:r>
      <w:r w:rsidRPr="007E34E5">
        <w:rPr>
          <w:iCs/>
          <w:color w:val="auto"/>
        </w:rPr>
        <w:t>12</w:t>
      </w:r>
      <w:r w:rsidRPr="007E34E5">
        <w:rPr>
          <w:color w:val="auto"/>
        </w:rPr>
        <w:t>(1): 65-73.</w:t>
      </w:r>
    </w:p>
    <w:p w:rsidR="00203B26" w:rsidRDefault="00203B26" w:rsidP="007E34E5">
      <w:pPr>
        <w:pStyle w:val="Default"/>
        <w:ind w:left="720" w:hanging="720"/>
        <w:jc w:val="both"/>
        <w:rPr>
          <w:color w:val="auto"/>
        </w:rPr>
      </w:pPr>
    </w:p>
    <w:p w:rsidR="00203B26" w:rsidRPr="007E34E5" w:rsidRDefault="00203B26" w:rsidP="007E34E5">
      <w:pPr>
        <w:pStyle w:val="Default"/>
        <w:ind w:left="720" w:hanging="720"/>
        <w:jc w:val="both"/>
        <w:rPr>
          <w:color w:val="auto"/>
        </w:rPr>
      </w:pPr>
      <w:proofErr w:type="gramStart"/>
      <w:r w:rsidRPr="007E34E5">
        <w:rPr>
          <w:color w:val="auto"/>
        </w:rPr>
        <w:t>Li, R., Li, Q., Huang, S., and Zhu, X. (2013).</w:t>
      </w:r>
      <w:proofErr w:type="gramEnd"/>
      <w:r w:rsidRPr="007E34E5">
        <w:rPr>
          <w:color w:val="auto"/>
        </w:rPr>
        <w:t xml:space="preserve"> The credit rationing of Chinese rural households and its welfare loss: An investigation based on panel data</w:t>
      </w:r>
      <w:r w:rsidRPr="007E34E5">
        <w:rPr>
          <w:i/>
          <w:iCs/>
          <w:color w:val="auto"/>
        </w:rPr>
        <w:t xml:space="preserve">. China Economic Review, </w:t>
      </w:r>
      <w:r w:rsidRPr="007E34E5">
        <w:rPr>
          <w:iCs/>
          <w:color w:val="auto"/>
        </w:rPr>
        <w:t>26</w:t>
      </w:r>
      <w:r w:rsidRPr="007E34E5">
        <w:rPr>
          <w:color w:val="auto"/>
        </w:rPr>
        <w:t xml:space="preserve">: 17-27. </w:t>
      </w:r>
    </w:p>
    <w:p w:rsidR="00203B26" w:rsidRDefault="00203B26" w:rsidP="00A103CE">
      <w:pPr>
        <w:spacing w:line="240" w:lineRule="auto"/>
        <w:ind w:left="720" w:hanging="720"/>
        <w:jc w:val="both"/>
        <w:rPr>
          <w:rFonts w:ascii="Times New Roman" w:hAnsi="Times New Roman" w:cs="Times New Roman"/>
          <w:sz w:val="24"/>
          <w:szCs w:val="24"/>
        </w:rPr>
      </w:pPr>
    </w:p>
    <w:p w:rsidR="00203B26" w:rsidRPr="007E34E5" w:rsidRDefault="00203B26" w:rsidP="00A103CE">
      <w:pPr>
        <w:spacing w:line="240" w:lineRule="auto"/>
        <w:ind w:left="720" w:hanging="720"/>
        <w:jc w:val="both"/>
        <w:rPr>
          <w:rFonts w:ascii="Times New Roman" w:hAnsi="Times New Roman" w:cs="Times New Roman"/>
          <w:i/>
          <w:sz w:val="24"/>
          <w:szCs w:val="24"/>
        </w:rPr>
      </w:pPr>
      <w:proofErr w:type="gramStart"/>
      <w:r w:rsidRPr="007E34E5">
        <w:rPr>
          <w:rFonts w:ascii="Times New Roman" w:hAnsi="Times New Roman" w:cs="Times New Roman"/>
          <w:sz w:val="24"/>
          <w:szCs w:val="24"/>
        </w:rPr>
        <w:t>Nelson, E.E. and Nelson, I.E. (2010).</w:t>
      </w:r>
      <w:proofErr w:type="gramEnd"/>
      <w:r w:rsidRPr="007E34E5">
        <w:rPr>
          <w:rFonts w:ascii="Times New Roman" w:hAnsi="Times New Roman" w:cs="Times New Roman"/>
          <w:sz w:val="24"/>
          <w:szCs w:val="24"/>
        </w:rPr>
        <w:t xml:space="preserve"> Micro-credit </w:t>
      </w:r>
      <w:proofErr w:type="spellStart"/>
      <w:r w:rsidRPr="007E34E5">
        <w:rPr>
          <w:rFonts w:ascii="Times New Roman" w:hAnsi="Times New Roman" w:cs="Times New Roman"/>
          <w:sz w:val="24"/>
          <w:szCs w:val="24"/>
        </w:rPr>
        <w:t>programme</w:t>
      </w:r>
      <w:proofErr w:type="spellEnd"/>
      <w:r w:rsidRPr="007E34E5">
        <w:rPr>
          <w:rFonts w:ascii="Times New Roman" w:hAnsi="Times New Roman" w:cs="Times New Roman"/>
          <w:sz w:val="24"/>
          <w:szCs w:val="24"/>
        </w:rPr>
        <w:t xml:space="preserve"> and poverty alleviation in rural Nigeria: A case study of </w:t>
      </w:r>
      <w:proofErr w:type="spellStart"/>
      <w:r w:rsidRPr="007E34E5">
        <w:rPr>
          <w:rFonts w:ascii="Times New Roman" w:hAnsi="Times New Roman" w:cs="Times New Roman"/>
          <w:sz w:val="24"/>
          <w:szCs w:val="24"/>
        </w:rPr>
        <w:t>Akwa</w:t>
      </w:r>
      <w:proofErr w:type="spellEnd"/>
      <w:r w:rsidRPr="007E34E5">
        <w:rPr>
          <w:rFonts w:ascii="Times New Roman" w:hAnsi="Times New Roman" w:cs="Times New Roman"/>
          <w:sz w:val="24"/>
          <w:szCs w:val="24"/>
        </w:rPr>
        <w:t xml:space="preserve"> </w:t>
      </w:r>
      <w:proofErr w:type="spellStart"/>
      <w:r w:rsidRPr="007E34E5">
        <w:rPr>
          <w:rFonts w:ascii="Times New Roman" w:hAnsi="Times New Roman" w:cs="Times New Roman"/>
          <w:sz w:val="24"/>
          <w:szCs w:val="24"/>
        </w:rPr>
        <w:t>Ibom</w:t>
      </w:r>
      <w:proofErr w:type="spellEnd"/>
      <w:r w:rsidRPr="007E34E5">
        <w:rPr>
          <w:rFonts w:ascii="Times New Roman" w:hAnsi="Times New Roman" w:cs="Times New Roman"/>
          <w:sz w:val="24"/>
          <w:szCs w:val="24"/>
        </w:rPr>
        <w:t xml:space="preserve"> State. </w:t>
      </w:r>
      <w:r w:rsidRPr="007E34E5">
        <w:rPr>
          <w:rFonts w:ascii="Times New Roman" w:hAnsi="Times New Roman" w:cs="Times New Roman"/>
          <w:i/>
          <w:sz w:val="24"/>
          <w:szCs w:val="24"/>
        </w:rPr>
        <w:t>International Journal of Economic Development Research and Investment, 1(2):168-180</w:t>
      </w:r>
    </w:p>
    <w:p w:rsidR="00203B26" w:rsidRPr="007E34E5" w:rsidRDefault="00203B26" w:rsidP="007E34E5">
      <w:pPr>
        <w:autoSpaceDE w:val="0"/>
        <w:autoSpaceDN w:val="0"/>
        <w:adjustRightInd w:val="0"/>
        <w:spacing w:line="240" w:lineRule="auto"/>
        <w:ind w:left="720" w:hanging="720"/>
        <w:jc w:val="both"/>
        <w:rPr>
          <w:rFonts w:ascii="Times New Roman" w:hAnsi="Times New Roman" w:cs="Times New Roman"/>
          <w:sz w:val="24"/>
          <w:szCs w:val="24"/>
        </w:rPr>
      </w:pPr>
      <w:proofErr w:type="gramStart"/>
      <w:r w:rsidRPr="007E34E5">
        <w:rPr>
          <w:rFonts w:ascii="Times New Roman" w:hAnsi="Times New Roman" w:cs="Times New Roman"/>
          <w:sz w:val="24"/>
          <w:szCs w:val="24"/>
        </w:rPr>
        <w:t>Robinson, M. (2004).</w:t>
      </w:r>
      <w:proofErr w:type="gramEnd"/>
      <w:r w:rsidRPr="007E34E5">
        <w:rPr>
          <w:rFonts w:ascii="Times New Roman" w:hAnsi="Times New Roman" w:cs="Times New Roman"/>
          <w:sz w:val="24"/>
          <w:szCs w:val="24"/>
        </w:rPr>
        <w:t xml:space="preserve"> Why the bank Rakyat Indonesia has the world’s largest sustainable micro-banking system. </w:t>
      </w:r>
      <w:proofErr w:type="gramStart"/>
      <w:r w:rsidRPr="007E34E5">
        <w:rPr>
          <w:rFonts w:ascii="Times New Roman" w:hAnsi="Times New Roman" w:cs="Times New Roman"/>
          <w:sz w:val="24"/>
          <w:szCs w:val="24"/>
        </w:rPr>
        <w:t>International seminar on BRI’s micro-banking system, Bali, Indonesia.</w:t>
      </w:r>
      <w:proofErr w:type="gramEnd"/>
    </w:p>
    <w:p w:rsidR="00203B26" w:rsidRPr="007E34E5" w:rsidRDefault="00203B26" w:rsidP="007E34E5">
      <w:pPr>
        <w:pStyle w:val="Default"/>
        <w:ind w:left="720" w:hanging="720"/>
        <w:jc w:val="both"/>
        <w:rPr>
          <w:color w:val="auto"/>
        </w:rPr>
      </w:pPr>
      <w:proofErr w:type="spellStart"/>
      <w:r w:rsidRPr="007E34E5">
        <w:rPr>
          <w:color w:val="auto"/>
        </w:rPr>
        <w:t>Satyasai</w:t>
      </w:r>
      <w:proofErr w:type="spellEnd"/>
      <w:r w:rsidRPr="007E34E5">
        <w:rPr>
          <w:color w:val="auto"/>
        </w:rPr>
        <w:t xml:space="preserve">, K. J. S. (2012). Access to rural credit and input use: An empirical study. </w:t>
      </w:r>
      <w:r w:rsidRPr="007E34E5">
        <w:rPr>
          <w:i/>
          <w:iCs/>
          <w:color w:val="auto"/>
        </w:rPr>
        <w:t xml:space="preserve">Agricultural Economics Research Review, </w:t>
      </w:r>
      <w:r w:rsidRPr="007E34E5">
        <w:rPr>
          <w:iCs/>
          <w:color w:val="auto"/>
        </w:rPr>
        <w:t>25</w:t>
      </w:r>
      <w:r w:rsidRPr="007E34E5">
        <w:rPr>
          <w:color w:val="auto"/>
        </w:rPr>
        <w:t>, 461-471.</w:t>
      </w:r>
    </w:p>
    <w:p w:rsidR="008E669F" w:rsidRPr="00912D6E" w:rsidRDefault="008E669F" w:rsidP="00255C6A">
      <w:pPr>
        <w:jc w:val="both"/>
        <w:rPr>
          <w:rFonts w:ascii="Times New Roman" w:hAnsi="Times New Roman" w:cs="Times New Roman"/>
          <w:b/>
          <w:sz w:val="24"/>
          <w:szCs w:val="24"/>
        </w:rPr>
      </w:pPr>
    </w:p>
    <w:sectPr w:rsidR="008E669F" w:rsidRPr="0091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BD7"/>
    <w:multiLevelType w:val="hybridMultilevel"/>
    <w:tmpl w:val="8E003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07F72"/>
    <w:multiLevelType w:val="hybridMultilevel"/>
    <w:tmpl w:val="9F760164"/>
    <w:lvl w:ilvl="0" w:tplc="C7F22C82">
      <w:start w:val="1"/>
      <w:numFmt w:val="lowerRoman"/>
      <w:lvlText w:val="%1."/>
      <w:lvlJc w:val="righ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6010A"/>
    <w:multiLevelType w:val="hybridMultilevel"/>
    <w:tmpl w:val="1E3E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67D97"/>
    <w:multiLevelType w:val="hybridMultilevel"/>
    <w:tmpl w:val="B158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A2FC7"/>
    <w:multiLevelType w:val="hybridMultilevel"/>
    <w:tmpl w:val="551A4E9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C4C27"/>
    <w:multiLevelType w:val="hybridMultilevel"/>
    <w:tmpl w:val="864206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nsid w:val="21F2021D"/>
    <w:multiLevelType w:val="hybridMultilevel"/>
    <w:tmpl w:val="705CDA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535A9"/>
    <w:multiLevelType w:val="multilevel"/>
    <w:tmpl w:val="5CF0C32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4B5AD9"/>
    <w:multiLevelType w:val="hybridMultilevel"/>
    <w:tmpl w:val="18E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52A2E"/>
    <w:multiLevelType w:val="hybridMultilevel"/>
    <w:tmpl w:val="D286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523AC"/>
    <w:multiLevelType w:val="hybridMultilevel"/>
    <w:tmpl w:val="7168FBF2"/>
    <w:lvl w:ilvl="0" w:tplc="12B4CA3E">
      <w:start w:val="1"/>
      <w:numFmt w:val="bullet"/>
      <w:lvlText w:val="•"/>
      <w:lvlJc w:val="left"/>
      <w:pPr>
        <w:tabs>
          <w:tab w:val="num" w:pos="720"/>
        </w:tabs>
        <w:ind w:left="720" w:hanging="360"/>
      </w:pPr>
      <w:rPr>
        <w:rFonts w:ascii="Arial" w:hAnsi="Arial" w:hint="default"/>
      </w:rPr>
    </w:lvl>
    <w:lvl w:ilvl="1" w:tplc="238E641E" w:tentative="1">
      <w:start w:val="1"/>
      <w:numFmt w:val="bullet"/>
      <w:lvlText w:val="•"/>
      <w:lvlJc w:val="left"/>
      <w:pPr>
        <w:tabs>
          <w:tab w:val="num" w:pos="1440"/>
        </w:tabs>
        <w:ind w:left="1440" w:hanging="360"/>
      </w:pPr>
      <w:rPr>
        <w:rFonts w:ascii="Arial" w:hAnsi="Arial" w:hint="default"/>
      </w:rPr>
    </w:lvl>
    <w:lvl w:ilvl="2" w:tplc="2982EBC8" w:tentative="1">
      <w:start w:val="1"/>
      <w:numFmt w:val="bullet"/>
      <w:lvlText w:val="•"/>
      <w:lvlJc w:val="left"/>
      <w:pPr>
        <w:tabs>
          <w:tab w:val="num" w:pos="2160"/>
        </w:tabs>
        <w:ind w:left="2160" w:hanging="360"/>
      </w:pPr>
      <w:rPr>
        <w:rFonts w:ascii="Arial" w:hAnsi="Arial" w:hint="default"/>
      </w:rPr>
    </w:lvl>
    <w:lvl w:ilvl="3" w:tplc="E9BC5C52" w:tentative="1">
      <w:start w:val="1"/>
      <w:numFmt w:val="bullet"/>
      <w:lvlText w:val="•"/>
      <w:lvlJc w:val="left"/>
      <w:pPr>
        <w:tabs>
          <w:tab w:val="num" w:pos="2880"/>
        </w:tabs>
        <w:ind w:left="2880" w:hanging="360"/>
      </w:pPr>
      <w:rPr>
        <w:rFonts w:ascii="Arial" w:hAnsi="Arial" w:hint="default"/>
      </w:rPr>
    </w:lvl>
    <w:lvl w:ilvl="4" w:tplc="2068C13C" w:tentative="1">
      <w:start w:val="1"/>
      <w:numFmt w:val="bullet"/>
      <w:lvlText w:val="•"/>
      <w:lvlJc w:val="left"/>
      <w:pPr>
        <w:tabs>
          <w:tab w:val="num" w:pos="3600"/>
        </w:tabs>
        <w:ind w:left="3600" w:hanging="360"/>
      </w:pPr>
      <w:rPr>
        <w:rFonts w:ascii="Arial" w:hAnsi="Arial" w:hint="default"/>
      </w:rPr>
    </w:lvl>
    <w:lvl w:ilvl="5" w:tplc="B4CC8B78" w:tentative="1">
      <w:start w:val="1"/>
      <w:numFmt w:val="bullet"/>
      <w:lvlText w:val="•"/>
      <w:lvlJc w:val="left"/>
      <w:pPr>
        <w:tabs>
          <w:tab w:val="num" w:pos="4320"/>
        </w:tabs>
        <w:ind w:left="4320" w:hanging="360"/>
      </w:pPr>
      <w:rPr>
        <w:rFonts w:ascii="Arial" w:hAnsi="Arial" w:hint="default"/>
      </w:rPr>
    </w:lvl>
    <w:lvl w:ilvl="6" w:tplc="E3EC7FCA" w:tentative="1">
      <w:start w:val="1"/>
      <w:numFmt w:val="bullet"/>
      <w:lvlText w:val="•"/>
      <w:lvlJc w:val="left"/>
      <w:pPr>
        <w:tabs>
          <w:tab w:val="num" w:pos="5040"/>
        </w:tabs>
        <w:ind w:left="5040" w:hanging="360"/>
      </w:pPr>
      <w:rPr>
        <w:rFonts w:ascii="Arial" w:hAnsi="Arial" w:hint="default"/>
      </w:rPr>
    </w:lvl>
    <w:lvl w:ilvl="7" w:tplc="E2080E82" w:tentative="1">
      <w:start w:val="1"/>
      <w:numFmt w:val="bullet"/>
      <w:lvlText w:val="•"/>
      <w:lvlJc w:val="left"/>
      <w:pPr>
        <w:tabs>
          <w:tab w:val="num" w:pos="5760"/>
        </w:tabs>
        <w:ind w:left="5760" w:hanging="360"/>
      </w:pPr>
      <w:rPr>
        <w:rFonts w:ascii="Arial" w:hAnsi="Arial" w:hint="default"/>
      </w:rPr>
    </w:lvl>
    <w:lvl w:ilvl="8" w:tplc="EF285202" w:tentative="1">
      <w:start w:val="1"/>
      <w:numFmt w:val="bullet"/>
      <w:lvlText w:val="•"/>
      <w:lvlJc w:val="left"/>
      <w:pPr>
        <w:tabs>
          <w:tab w:val="num" w:pos="6480"/>
        </w:tabs>
        <w:ind w:left="6480" w:hanging="360"/>
      </w:pPr>
      <w:rPr>
        <w:rFonts w:ascii="Arial" w:hAnsi="Arial" w:hint="default"/>
      </w:rPr>
    </w:lvl>
  </w:abstractNum>
  <w:abstractNum w:abstractNumId="11">
    <w:nsid w:val="3D5B0F4D"/>
    <w:multiLevelType w:val="hybridMultilevel"/>
    <w:tmpl w:val="2A4898DE"/>
    <w:lvl w:ilvl="0" w:tplc="9E54A9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92116"/>
    <w:multiLevelType w:val="multilevel"/>
    <w:tmpl w:val="0EDA1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1B5666"/>
    <w:multiLevelType w:val="hybridMultilevel"/>
    <w:tmpl w:val="3E54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A44CB"/>
    <w:multiLevelType w:val="hybridMultilevel"/>
    <w:tmpl w:val="FEB8A162"/>
    <w:lvl w:ilvl="0" w:tplc="ABF2DEC4">
      <w:start w:val="1"/>
      <w:numFmt w:val="decimal"/>
      <w:lvlText w:val="%1."/>
      <w:lvlJc w:val="center"/>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25D75"/>
    <w:multiLevelType w:val="hybridMultilevel"/>
    <w:tmpl w:val="E6CE0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70707"/>
    <w:multiLevelType w:val="hybridMultilevel"/>
    <w:tmpl w:val="797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952D7"/>
    <w:multiLevelType w:val="hybridMultilevel"/>
    <w:tmpl w:val="B59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2560A"/>
    <w:multiLevelType w:val="hybridMultilevel"/>
    <w:tmpl w:val="E6DE8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814A7"/>
    <w:multiLevelType w:val="hybridMultilevel"/>
    <w:tmpl w:val="F57093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691A5C"/>
    <w:multiLevelType w:val="hybridMultilevel"/>
    <w:tmpl w:val="C74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2906AE"/>
    <w:multiLevelType w:val="hybridMultilevel"/>
    <w:tmpl w:val="FCB8A248"/>
    <w:lvl w:ilvl="0" w:tplc="466C1A74">
      <w:start w:val="1"/>
      <w:numFmt w:val="bullet"/>
      <w:lvlText w:val="•"/>
      <w:lvlJc w:val="left"/>
      <w:pPr>
        <w:tabs>
          <w:tab w:val="num" w:pos="720"/>
        </w:tabs>
        <w:ind w:left="720" w:hanging="360"/>
      </w:pPr>
      <w:rPr>
        <w:rFonts w:ascii="Arial" w:hAnsi="Arial" w:hint="default"/>
      </w:rPr>
    </w:lvl>
    <w:lvl w:ilvl="1" w:tplc="1284C6AC" w:tentative="1">
      <w:start w:val="1"/>
      <w:numFmt w:val="bullet"/>
      <w:lvlText w:val="•"/>
      <w:lvlJc w:val="left"/>
      <w:pPr>
        <w:tabs>
          <w:tab w:val="num" w:pos="1440"/>
        </w:tabs>
        <w:ind w:left="1440" w:hanging="360"/>
      </w:pPr>
      <w:rPr>
        <w:rFonts w:ascii="Arial" w:hAnsi="Arial" w:hint="default"/>
      </w:rPr>
    </w:lvl>
    <w:lvl w:ilvl="2" w:tplc="6742C4CE" w:tentative="1">
      <w:start w:val="1"/>
      <w:numFmt w:val="bullet"/>
      <w:lvlText w:val="•"/>
      <w:lvlJc w:val="left"/>
      <w:pPr>
        <w:tabs>
          <w:tab w:val="num" w:pos="2160"/>
        </w:tabs>
        <w:ind w:left="2160" w:hanging="360"/>
      </w:pPr>
      <w:rPr>
        <w:rFonts w:ascii="Arial" w:hAnsi="Arial" w:hint="default"/>
      </w:rPr>
    </w:lvl>
    <w:lvl w:ilvl="3" w:tplc="CEE0FFBE" w:tentative="1">
      <w:start w:val="1"/>
      <w:numFmt w:val="bullet"/>
      <w:lvlText w:val="•"/>
      <w:lvlJc w:val="left"/>
      <w:pPr>
        <w:tabs>
          <w:tab w:val="num" w:pos="2880"/>
        </w:tabs>
        <w:ind w:left="2880" w:hanging="360"/>
      </w:pPr>
      <w:rPr>
        <w:rFonts w:ascii="Arial" w:hAnsi="Arial" w:hint="default"/>
      </w:rPr>
    </w:lvl>
    <w:lvl w:ilvl="4" w:tplc="D3A87D94" w:tentative="1">
      <w:start w:val="1"/>
      <w:numFmt w:val="bullet"/>
      <w:lvlText w:val="•"/>
      <w:lvlJc w:val="left"/>
      <w:pPr>
        <w:tabs>
          <w:tab w:val="num" w:pos="3600"/>
        </w:tabs>
        <w:ind w:left="3600" w:hanging="360"/>
      </w:pPr>
      <w:rPr>
        <w:rFonts w:ascii="Arial" w:hAnsi="Arial" w:hint="default"/>
      </w:rPr>
    </w:lvl>
    <w:lvl w:ilvl="5" w:tplc="F446D972" w:tentative="1">
      <w:start w:val="1"/>
      <w:numFmt w:val="bullet"/>
      <w:lvlText w:val="•"/>
      <w:lvlJc w:val="left"/>
      <w:pPr>
        <w:tabs>
          <w:tab w:val="num" w:pos="4320"/>
        </w:tabs>
        <w:ind w:left="4320" w:hanging="360"/>
      </w:pPr>
      <w:rPr>
        <w:rFonts w:ascii="Arial" w:hAnsi="Arial" w:hint="default"/>
      </w:rPr>
    </w:lvl>
    <w:lvl w:ilvl="6" w:tplc="8B8633A2" w:tentative="1">
      <w:start w:val="1"/>
      <w:numFmt w:val="bullet"/>
      <w:lvlText w:val="•"/>
      <w:lvlJc w:val="left"/>
      <w:pPr>
        <w:tabs>
          <w:tab w:val="num" w:pos="5040"/>
        </w:tabs>
        <w:ind w:left="5040" w:hanging="360"/>
      </w:pPr>
      <w:rPr>
        <w:rFonts w:ascii="Arial" w:hAnsi="Arial" w:hint="default"/>
      </w:rPr>
    </w:lvl>
    <w:lvl w:ilvl="7" w:tplc="2C287958" w:tentative="1">
      <w:start w:val="1"/>
      <w:numFmt w:val="bullet"/>
      <w:lvlText w:val="•"/>
      <w:lvlJc w:val="left"/>
      <w:pPr>
        <w:tabs>
          <w:tab w:val="num" w:pos="5760"/>
        </w:tabs>
        <w:ind w:left="5760" w:hanging="360"/>
      </w:pPr>
      <w:rPr>
        <w:rFonts w:ascii="Arial" w:hAnsi="Arial" w:hint="default"/>
      </w:rPr>
    </w:lvl>
    <w:lvl w:ilvl="8" w:tplc="C4F43F36" w:tentative="1">
      <w:start w:val="1"/>
      <w:numFmt w:val="bullet"/>
      <w:lvlText w:val="•"/>
      <w:lvlJc w:val="left"/>
      <w:pPr>
        <w:tabs>
          <w:tab w:val="num" w:pos="6480"/>
        </w:tabs>
        <w:ind w:left="6480" w:hanging="360"/>
      </w:pPr>
      <w:rPr>
        <w:rFonts w:ascii="Arial" w:hAnsi="Arial" w:hint="default"/>
      </w:rPr>
    </w:lvl>
  </w:abstractNum>
  <w:abstractNum w:abstractNumId="22">
    <w:nsid w:val="78691535"/>
    <w:multiLevelType w:val="hybridMultilevel"/>
    <w:tmpl w:val="7E0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F25D94"/>
    <w:multiLevelType w:val="hybridMultilevel"/>
    <w:tmpl w:val="A86A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52611F"/>
    <w:multiLevelType w:val="multilevel"/>
    <w:tmpl w:val="7B2CCF9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55B93"/>
    <w:multiLevelType w:val="hybridMultilevel"/>
    <w:tmpl w:val="D9C05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5"/>
  </w:num>
  <w:num w:numId="5">
    <w:abstractNumId w:val="4"/>
  </w:num>
  <w:num w:numId="6">
    <w:abstractNumId w:val="9"/>
  </w:num>
  <w:num w:numId="7">
    <w:abstractNumId w:val="22"/>
  </w:num>
  <w:num w:numId="8">
    <w:abstractNumId w:val="20"/>
  </w:num>
  <w:num w:numId="9">
    <w:abstractNumId w:val="2"/>
  </w:num>
  <w:num w:numId="10">
    <w:abstractNumId w:val="13"/>
  </w:num>
  <w:num w:numId="11">
    <w:abstractNumId w:val="16"/>
  </w:num>
  <w:num w:numId="12">
    <w:abstractNumId w:val="3"/>
  </w:num>
  <w:num w:numId="13">
    <w:abstractNumId w:val="23"/>
  </w:num>
  <w:num w:numId="14">
    <w:abstractNumId w:val="8"/>
  </w:num>
  <w:num w:numId="15">
    <w:abstractNumId w:val="17"/>
  </w:num>
  <w:num w:numId="16">
    <w:abstractNumId w:val="7"/>
  </w:num>
  <w:num w:numId="17">
    <w:abstractNumId w:val="5"/>
  </w:num>
  <w:num w:numId="18">
    <w:abstractNumId w:val="24"/>
  </w:num>
  <w:num w:numId="19">
    <w:abstractNumId w:val="6"/>
  </w:num>
  <w:num w:numId="20">
    <w:abstractNumId w:val="10"/>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5"/>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11"/>
    <w:rsid w:val="00016011"/>
    <w:rsid w:val="00030893"/>
    <w:rsid w:val="000E280C"/>
    <w:rsid w:val="00203B26"/>
    <w:rsid w:val="00255C6A"/>
    <w:rsid w:val="002B46CF"/>
    <w:rsid w:val="0030614E"/>
    <w:rsid w:val="00306C83"/>
    <w:rsid w:val="003361EB"/>
    <w:rsid w:val="00384943"/>
    <w:rsid w:val="00541C78"/>
    <w:rsid w:val="0060161F"/>
    <w:rsid w:val="00673AE1"/>
    <w:rsid w:val="006B1B21"/>
    <w:rsid w:val="00722A58"/>
    <w:rsid w:val="00744D05"/>
    <w:rsid w:val="007753F0"/>
    <w:rsid w:val="007E34E5"/>
    <w:rsid w:val="007F52AA"/>
    <w:rsid w:val="00835BB1"/>
    <w:rsid w:val="00843A8B"/>
    <w:rsid w:val="00876720"/>
    <w:rsid w:val="008B782E"/>
    <w:rsid w:val="008E669F"/>
    <w:rsid w:val="00912D6E"/>
    <w:rsid w:val="00923187"/>
    <w:rsid w:val="00986B20"/>
    <w:rsid w:val="00A103CE"/>
    <w:rsid w:val="00A168A3"/>
    <w:rsid w:val="00A34595"/>
    <w:rsid w:val="00A6000A"/>
    <w:rsid w:val="00A96E45"/>
    <w:rsid w:val="00AC2444"/>
    <w:rsid w:val="00B85F74"/>
    <w:rsid w:val="00C37BFD"/>
    <w:rsid w:val="00CD3378"/>
    <w:rsid w:val="00CF5C51"/>
    <w:rsid w:val="00D1663C"/>
    <w:rsid w:val="00D825B7"/>
    <w:rsid w:val="00DC1718"/>
    <w:rsid w:val="00DC7DD7"/>
    <w:rsid w:val="00DD3134"/>
    <w:rsid w:val="00E640B7"/>
    <w:rsid w:val="00EA2ADA"/>
    <w:rsid w:val="00EB27D8"/>
    <w:rsid w:val="00EE4D9D"/>
    <w:rsid w:val="00F34E9C"/>
    <w:rsid w:val="00F51771"/>
    <w:rsid w:val="00F87B7F"/>
    <w:rsid w:val="00FA1D05"/>
    <w:rsid w:val="00FA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D6E"/>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12D6E"/>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12D6E"/>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D6E"/>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12D6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12D6E"/>
    <w:rPr>
      <w:rFonts w:ascii="Courier New" w:hAnsi="Courier New" w:cs="Courier New"/>
      <w:b/>
      <w:bCs/>
      <w:color w:val="000000"/>
      <w:sz w:val="26"/>
      <w:szCs w:val="26"/>
    </w:rPr>
  </w:style>
  <w:style w:type="character" w:styleId="Hyperlink">
    <w:name w:val="Hyperlink"/>
    <w:basedOn w:val="DefaultParagraphFont"/>
    <w:uiPriority w:val="99"/>
    <w:unhideWhenUsed/>
    <w:rsid w:val="00016011"/>
    <w:rPr>
      <w:color w:val="0000FF" w:themeColor="hyperlink"/>
      <w:u w:val="single"/>
    </w:rPr>
  </w:style>
  <w:style w:type="paragraph" w:styleId="ListParagraph">
    <w:name w:val="List Paragraph"/>
    <w:basedOn w:val="Normal"/>
    <w:uiPriority w:val="34"/>
    <w:qFormat/>
    <w:rsid w:val="00912D6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12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2D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912D6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12D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912D6E"/>
    <w:rPr>
      <w:sz w:val="20"/>
      <w:szCs w:val="20"/>
    </w:rPr>
  </w:style>
  <w:style w:type="character" w:customStyle="1" w:styleId="CommentSubjectChar">
    <w:name w:val="Comment Subject Char"/>
    <w:basedOn w:val="CommentTextChar"/>
    <w:link w:val="CommentSubject"/>
    <w:uiPriority w:val="99"/>
    <w:semiHidden/>
    <w:rsid w:val="00912D6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12D6E"/>
    <w:rPr>
      <w:b/>
      <w:bCs/>
    </w:rPr>
  </w:style>
  <w:style w:type="character" w:customStyle="1" w:styleId="CommentSubjectChar1">
    <w:name w:val="Comment Subject Char1"/>
    <w:basedOn w:val="CommentTextChar1"/>
    <w:uiPriority w:val="99"/>
    <w:semiHidden/>
    <w:rsid w:val="00912D6E"/>
    <w:rPr>
      <w:b/>
      <w:bCs/>
      <w:sz w:val="20"/>
      <w:szCs w:val="20"/>
    </w:rPr>
  </w:style>
  <w:style w:type="character" w:customStyle="1" w:styleId="BalloonTextChar">
    <w:name w:val="Balloon Text Char"/>
    <w:basedOn w:val="DefaultParagraphFont"/>
    <w:link w:val="BalloonText"/>
    <w:uiPriority w:val="99"/>
    <w:semiHidden/>
    <w:rsid w:val="00912D6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12D6E"/>
    <w:pPr>
      <w:spacing w:after="0" w:line="240" w:lineRule="auto"/>
    </w:pPr>
    <w:rPr>
      <w:rFonts w:ascii="Tahoma" w:eastAsia="Times New Roman" w:hAnsi="Tahoma" w:cs="Tahoma"/>
      <w:sz w:val="16"/>
      <w:szCs w:val="16"/>
    </w:rPr>
  </w:style>
  <w:style w:type="table" w:styleId="TableGrid">
    <w:name w:val="Table Grid"/>
    <w:basedOn w:val="TableNormal"/>
    <w:uiPriority w:val="39"/>
    <w:rsid w:val="0091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2D6E"/>
  </w:style>
  <w:style w:type="paragraph" w:styleId="Header">
    <w:name w:val="header"/>
    <w:basedOn w:val="Normal"/>
    <w:link w:val="HeaderChar"/>
    <w:uiPriority w:val="99"/>
    <w:unhideWhenUsed/>
    <w:rsid w:val="00912D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2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D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2D6E"/>
    <w:rPr>
      <w:rFonts w:ascii="Times New Roman" w:eastAsia="Times New Roman" w:hAnsi="Times New Roman" w:cs="Times New Roman"/>
      <w:sz w:val="24"/>
      <w:szCs w:val="24"/>
    </w:rPr>
  </w:style>
  <w:style w:type="paragraph" w:styleId="NoSpacing">
    <w:name w:val="No Spacing"/>
    <w:uiPriority w:val="1"/>
    <w:qFormat/>
    <w:rsid w:val="00912D6E"/>
    <w:pPr>
      <w:spacing w:after="0" w:line="240" w:lineRule="auto"/>
    </w:pPr>
  </w:style>
  <w:style w:type="table" w:styleId="LightShading">
    <w:name w:val="Light Shading"/>
    <w:basedOn w:val="TableNormal"/>
    <w:uiPriority w:val="60"/>
    <w:rsid w:val="00912D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2D6E"/>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12D6E"/>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12D6E"/>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D6E"/>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12D6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12D6E"/>
    <w:rPr>
      <w:rFonts w:ascii="Courier New" w:hAnsi="Courier New" w:cs="Courier New"/>
      <w:b/>
      <w:bCs/>
      <w:color w:val="000000"/>
      <w:sz w:val="26"/>
      <w:szCs w:val="26"/>
    </w:rPr>
  </w:style>
  <w:style w:type="character" w:styleId="Hyperlink">
    <w:name w:val="Hyperlink"/>
    <w:basedOn w:val="DefaultParagraphFont"/>
    <w:uiPriority w:val="99"/>
    <w:unhideWhenUsed/>
    <w:rsid w:val="00016011"/>
    <w:rPr>
      <w:color w:val="0000FF" w:themeColor="hyperlink"/>
      <w:u w:val="single"/>
    </w:rPr>
  </w:style>
  <w:style w:type="paragraph" w:styleId="ListParagraph">
    <w:name w:val="List Paragraph"/>
    <w:basedOn w:val="Normal"/>
    <w:uiPriority w:val="34"/>
    <w:qFormat/>
    <w:rsid w:val="00912D6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912D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2D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912D6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12D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912D6E"/>
    <w:rPr>
      <w:sz w:val="20"/>
      <w:szCs w:val="20"/>
    </w:rPr>
  </w:style>
  <w:style w:type="character" w:customStyle="1" w:styleId="CommentSubjectChar">
    <w:name w:val="Comment Subject Char"/>
    <w:basedOn w:val="CommentTextChar"/>
    <w:link w:val="CommentSubject"/>
    <w:uiPriority w:val="99"/>
    <w:semiHidden/>
    <w:rsid w:val="00912D6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12D6E"/>
    <w:rPr>
      <w:b/>
      <w:bCs/>
    </w:rPr>
  </w:style>
  <w:style w:type="character" w:customStyle="1" w:styleId="CommentSubjectChar1">
    <w:name w:val="Comment Subject Char1"/>
    <w:basedOn w:val="CommentTextChar1"/>
    <w:uiPriority w:val="99"/>
    <w:semiHidden/>
    <w:rsid w:val="00912D6E"/>
    <w:rPr>
      <w:b/>
      <w:bCs/>
      <w:sz w:val="20"/>
      <w:szCs w:val="20"/>
    </w:rPr>
  </w:style>
  <w:style w:type="character" w:customStyle="1" w:styleId="BalloonTextChar">
    <w:name w:val="Balloon Text Char"/>
    <w:basedOn w:val="DefaultParagraphFont"/>
    <w:link w:val="BalloonText"/>
    <w:uiPriority w:val="99"/>
    <w:semiHidden/>
    <w:rsid w:val="00912D6E"/>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12D6E"/>
    <w:pPr>
      <w:spacing w:after="0" w:line="240" w:lineRule="auto"/>
    </w:pPr>
    <w:rPr>
      <w:rFonts w:ascii="Tahoma" w:eastAsia="Times New Roman" w:hAnsi="Tahoma" w:cs="Tahoma"/>
      <w:sz w:val="16"/>
      <w:szCs w:val="16"/>
    </w:rPr>
  </w:style>
  <w:style w:type="table" w:styleId="TableGrid">
    <w:name w:val="Table Grid"/>
    <w:basedOn w:val="TableNormal"/>
    <w:uiPriority w:val="39"/>
    <w:rsid w:val="00912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12D6E"/>
  </w:style>
  <w:style w:type="paragraph" w:styleId="Header">
    <w:name w:val="header"/>
    <w:basedOn w:val="Normal"/>
    <w:link w:val="HeaderChar"/>
    <w:uiPriority w:val="99"/>
    <w:unhideWhenUsed/>
    <w:rsid w:val="00912D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12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D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2D6E"/>
    <w:rPr>
      <w:rFonts w:ascii="Times New Roman" w:eastAsia="Times New Roman" w:hAnsi="Times New Roman" w:cs="Times New Roman"/>
      <w:sz w:val="24"/>
      <w:szCs w:val="24"/>
    </w:rPr>
  </w:style>
  <w:style w:type="paragraph" w:styleId="NoSpacing">
    <w:name w:val="No Spacing"/>
    <w:uiPriority w:val="1"/>
    <w:qFormat/>
    <w:rsid w:val="00912D6E"/>
    <w:pPr>
      <w:spacing w:after="0" w:line="240" w:lineRule="auto"/>
    </w:pPr>
  </w:style>
  <w:style w:type="table" w:styleId="LightShading">
    <w:name w:val="Light Shading"/>
    <w:basedOn w:val="TableNormal"/>
    <w:uiPriority w:val="60"/>
    <w:rsid w:val="00912D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umust@gmail.com" TargetMode="External"/><Relationship Id="rId3" Type="http://schemas.openxmlformats.org/officeDocument/2006/relationships/styles" Target="styles.xml"/><Relationship Id="rId7" Type="http://schemas.openxmlformats.org/officeDocument/2006/relationships/hyperlink" Target="mailto:Ludensi@y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illiamgodden.com/samplesizeformul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10F7-D590-44B5-9ADE-72E5A51E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25</Pages>
  <Words>7073</Words>
  <Characters>40321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2018-09-16T20:58:00Z</dcterms:created>
  <dcterms:modified xsi:type="dcterms:W3CDTF">2019-01-14T15:29:00Z</dcterms:modified>
</cp:coreProperties>
</file>