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68" w:rsidRPr="00F93568" w:rsidRDefault="00F93568" w:rsidP="00F93568">
      <w:pPr>
        <w:pStyle w:val="NoSpacing"/>
        <w:jc w:val="center"/>
        <w:rPr>
          <w:b/>
        </w:rPr>
      </w:pPr>
      <w:r w:rsidRPr="00F93568">
        <w:rPr>
          <w:b/>
          <w:bCs/>
        </w:rPr>
        <w:t>Microfinance Institutions and the Challenges of Poverty Alleviation: Implications for Sustainable Rural Development in Nigeria</w:t>
      </w:r>
      <w:r>
        <w:rPr>
          <w:b/>
          <w:bCs/>
        </w:rPr>
        <w:t>*</w:t>
      </w:r>
    </w:p>
    <w:p w:rsidR="00F93568" w:rsidRPr="00F93568" w:rsidRDefault="00F93568" w:rsidP="00F93568">
      <w:pPr>
        <w:pStyle w:val="NoSpacing"/>
        <w:jc w:val="center"/>
        <w:rPr>
          <w:b/>
        </w:rPr>
      </w:pPr>
    </w:p>
    <w:p w:rsidR="00F93568" w:rsidRDefault="00F93568" w:rsidP="00F93568">
      <w:pPr>
        <w:pStyle w:val="NoSpacing"/>
        <w:jc w:val="center"/>
        <w:rPr>
          <w:b/>
        </w:rPr>
      </w:pPr>
    </w:p>
    <w:p w:rsidR="00F93568" w:rsidRDefault="00F93568" w:rsidP="00F93568">
      <w:pPr>
        <w:pStyle w:val="NoSpacing"/>
        <w:jc w:val="center"/>
        <w:rPr>
          <w:b/>
        </w:rPr>
      </w:pPr>
    </w:p>
    <w:p w:rsidR="00F93568" w:rsidRDefault="00F93568" w:rsidP="00F93568">
      <w:pPr>
        <w:pStyle w:val="NoSpacing"/>
        <w:jc w:val="center"/>
        <w:rPr>
          <w:b/>
        </w:rPr>
      </w:pPr>
    </w:p>
    <w:p w:rsidR="00F93568" w:rsidRDefault="00F93568" w:rsidP="00F93568">
      <w:pPr>
        <w:pStyle w:val="NoSpacing"/>
        <w:jc w:val="center"/>
        <w:rPr>
          <w:b/>
        </w:rPr>
      </w:pPr>
    </w:p>
    <w:p w:rsidR="00F93568" w:rsidRDefault="00F93568" w:rsidP="00F93568">
      <w:pPr>
        <w:pStyle w:val="NoSpacing"/>
        <w:jc w:val="center"/>
        <w:rPr>
          <w:b/>
        </w:rPr>
      </w:pPr>
    </w:p>
    <w:p w:rsidR="00F93568" w:rsidRPr="00F93568" w:rsidRDefault="00F93568" w:rsidP="00F93568">
      <w:pPr>
        <w:pStyle w:val="NoSpacing"/>
        <w:jc w:val="center"/>
        <w:rPr>
          <w:b/>
        </w:rPr>
      </w:pPr>
    </w:p>
    <w:p w:rsidR="00F93568" w:rsidRPr="00F93568" w:rsidRDefault="00F93568" w:rsidP="00F93568">
      <w:pPr>
        <w:pStyle w:val="NoSpacing"/>
        <w:jc w:val="center"/>
        <w:rPr>
          <w:b/>
        </w:rPr>
      </w:pPr>
      <w:r w:rsidRPr="00F93568">
        <w:rPr>
          <w:b/>
          <w:bCs/>
        </w:rPr>
        <w:t>Udensi Lawrence Okoronkwo</w:t>
      </w:r>
      <w:r>
        <w:rPr>
          <w:b/>
          <w:bCs/>
        </w:rPr>
        <w:t xml:space="preserve"> (PhD)</w:t>
      </w:r>
    </w:p>
    <w:p w:rsidR="00F93568" w:rsidRPr="00F93568" w:rsidRDefault="00F93568" w:rsidP="00F93568">
      <w:pPr>
        <w:pStyle w:val="NoSpacing"/>
        <w:jc w:val="center"/>
      </w:pPr>
      <w:r w:rsidRPr="00F93568">
        <w:t>Department of Sociology, Faculty of Humanities, Management and Social Sciences</w:t>
      </w:r>
    </w:p>
    <w:p w:rsidR="00F93568" w:rsidRPr="00F93568" w:rsidRDefault="00F93568" w:rsidP="00F93568">
      <w:pPr>
        <w:pStyle w:val="NoSpacing"/>
        <w:jc w:val="center"/>
      </w:pPr>
      <w:r w:rsidRPr="00F93568">
        <w:t xml:space="preserve">Federal University of </w:t>
      </w:r>
      <w:proofErr w:type="spellStart"/>
      <w:r w:rsidRPr="00F93568">
        <w:t>Kashere</w:t>
      </w:r>
      <w:proofErr w:type="spellEnd"/>
      <w:r w:rsidRPr="00F93568">
        <w:t xml:space="preserve">, </w:t>
      </w:r>
      <w:proofErr w:type="spellStart"/>
      <w:r w:rsidRPr="00F93568">
        <w:t>Gombe</w:t>
      </w:r>
      <w:proofErr w:type="spellEnd"/>
      <w:r w:rsidRPr="00F93568">
        <w:t xml:space="preserve"> State, Nigeria</w:t>
      </w:r>
    </w:p>
    <w:p w:rsidR="00F93568" w:rsidRDefault="00F93568" w:rsidP="00F93568">
      <w:pPr>
        <w:pStyle w:val="NoSpacing"/>
        <w:jc w:val="center"/>
        <w:rPr>
          <w:b/>
        </w:rPr>
      </w:pPr>
    </w:p>
    <w:p w:rsidR="00F93568" w:rsidRDefault="00F93568" w:rsidP="00F93568">
      <w:pPr>
        <w:pStyle w:val="NoSpacing"/>
        <w:jc w:val="center"/>
        <w:rPr>
          <w:b/>
        </w:rPr>
      </w:pPr>
    </w:p>
    <w:p w:rsidR="00F93568" w:rsidRDefault="00F93568" w:rsidP="00F93568">
      <w:pPr>
        <w:pStyle w:val="NoSpacing"/>
        <w:jc w:val="center"/>
        <w:rPr>
          <w:b/>
        </w:rPr>
      </w:pPr>
    </w:p>
    <w:p w:rsidR="00F93568" w:rsidRDefault="00F93568" w:rsidP="00F93568">
      <w:pPr>
        <w:pStyle w:val="NoSpacing"/>
        <w:jc w:val="center"/>
        <w:rPr>
          <w:b/>
        </w:rPr>
      </w:pPr>
    </w:p>
    <w:p w:rsidR="00F93568" w:rsidRPr="00F93568" w:rsidRDefault="00F93568" w:rsidP="00F93568">
      <w:pPr>
        <w:pStyle w:val="NoSpacing"/>
        <w:jc w:val="center"/>
        <w:rPr>
          <w:b/>
        </w:rPr>
      </w:pPr>
    </w:p>
    <w:p w:rsidR="00F93568" w:rsidRPr="00F93568" w:rsidRDefault="00F93568" w:rsidP="00F93568">
      <w:pPr>
        <w:pStyle w:val="NoSpacing"/>
        <w:jc w:val="center"/>
        <w:rPr>
          <w:b/>
        </w:rPr>
      </w:pPr>
      <w:proofErr w:type="spellStart"/>
      <w:r w:rsidRPr="00F93568">
        <w:rPr>
          <w:b/>
          <w:bCs/>
        </w:rPr>
        <w:t>Edeke</w:t>
      </w:r>
      <w:proofErr w:type="spellEnd"/>
      <w:r w:rsidRPr="00F93568">
        <w:rPr>
          <w:b/>
          <w:bCs/>
        </w:rPr>
        <w:t xml:space="preserve"> Sunday </w:t>
      </w:r>
      <w:proofErr w:type="spellStart"/>
      <w:r w:rsidRPr="00F93568">
        <w:rPr>
          <w:b/>
          <w:bCs/>
        </w:rPr>
        <w:t>Okon</w:t>
      </w:r>
      <w:proofErr w:type="spellEnd"/>
    </w:p>
    <w:p w:rsidR="00F93568" w:rsidRPr="00F93568" w:rsidRDefault="00F93568" w:rsidP="00F93568">
      <w:pPr>
        <w:pStyle w:val="NoSpacing"/>
        <w:jc w:val="center"/>
      </w:pPr>
      <w:r w:rsidRPr="00F93568">
        <w:t>Department of Sociology and Anthropology, Faculty of Social Sciences</w:t>
      </w:r>
    </w:p>
    <w:p w:rsidR="00F93568" w:rsidRDefault="00F93568" w:rsidP="00F93568">
      <w:pPr>
        <w:pStyle w:val="NoSpacing"/>
        <w:jc w:val="center"/>
      </w:pPr>
      <w:proofErr w:type="gramStart"/>
      <w:r w:rsidRPr="00F93568">
        <w:t xml:space="preserve">University of Uyo, Uyo, </w:t>
      </w:r>
      <w:proofErr w:type="spellStart"/>
      <w:r w:rsidRPr="00F93568">
        <w:t>Akwa</w:t>
      </w:r>
      <w:proofErr w:type="spellEnd"/>
      <w:r w:rsidRPr="00F93568">
        <w:t xml:space="preserve"> </w:t>
      </w:r>
      <w:proofErr w:type="spellStart"/>
      <w:r w:rsidRPr="00F93568">
        <w:t>Ibom</w:t>
      </w:r>
      <w:proofErr w:type="spellEnd"/>
      <w:r w:rsidRPr="00F93568">
        <w:t xml:space="preserve"> State</w:t>
      </w:r>
      <w:r>
        <w:t>.</w:t>
      </w:r>
      <w:proofErr w:type="gramEnd"/>
    </w:p>
    <w:p w:rsidR="00F93568" w:rsidRDefault="00F93568" w:rsidP="00F93568">
      <w:pPr>
        <w:pStyle w:val="NoSpacing"/>
        <w:jc w:val="center"/>
      </w:pPr>
    </w:p>
    <w:p w:rsidR="00F93568" w:rsidRDefault="00F93568" w:rsidP="00F93568">
      <w:pPr>
        <w:pStyle w:val="NoSpacing"/>
        <w:jc w:val="center"/>
      </w:pPr>
    </w:p>
    <w:p w:rsidR="00F93568" w:rsidRDefault="00F93568" w:rsidP="00F93568">
      <w:pPr>
        <w:pStyle w:val="NoSpacing"/>
        <w:jc w:val="center"/>
      </w:pPr>
    </w:p>
    <w:p w:rsidR="00F93568" w:rsidRDefault="00F93568" w:rsidP="00F93568">
      <w:pPr>
        <w:pStyle w:val="NoSpacing"/>
        <w:jc w:val="center"/>
      </w:pPr>
    </w:p>
    <w:p w:rsidR="00F93568" w:rsidRPr="00F93568" w:rsidRDefault="00F93568" w:rsidP="00F93568">
      <w:pPr>
        <w:pStyle w:val="NoSpacing"/>
        <w:jc w:val="center"/>
      </w:pPr>
    </w:p>
    <w:p w:rsidR="00F93568" w:rsidRPr="00F93568" w:rsidRDefault="00F93568" w:rsidP="00F93568">
      <w:pPr>
        <w:pStyle w:val="NoSpacing"/>
        <w:jc w:val="center"/>
        <w:rPr>
          <w:b/>
        </w:rPr>
      </w:pPr>
      <w:proofErr w:type="spellStart"/>
      <w:r w:rsidRPr="00F93568">
        <w:rPr>
          <w:b/>
          <w:bCs/>
        </w:rPr>
        <w:t>Igbara</w:t>
      </w:r>
      <w:proofErr w:type="spellEnd"/>
      <w:r w:rsidRPr="00F93568">
        <w:rPr>
          <w:b/>
          <w:bCs/>
        </w:rPr>
        <w:t xml:space="preserve"> Felix N.</w:t>
      </w:r>
    </w:p>
    <w:p w:rsidR="00F93568" w:rsidRPr="00F93568" w:rsidRDefault="00F93568" w:rsidP="00F93568">
      <w:pPr>
        <w:pStyle w:val="NoSpacing"/>
        <w:jc w:val="center"/>
      </w:pPr>
      <w:r w:rsidRPr="00F93568">
        <w:t>Department of Banking and Finance,</w:t>
      </w:r>
    </w:p>
    <w:p w:rsidR="00F93568" w:rsidRPr="00F93568" w:rsidRDefault="00F93568" w:rsidP="00F93568">
      <w:pPr>
        <w:pStyle w:val="NoSpacing"/>
        <w:jc w:val="center"/>
      </w:pPr>
      <w:r w:rsidRPr="00F93568">
        <w:t xml:space="preserve">Ken </w:t>
      </w:r>
      <w:proofErr w:type="spellStart"/>
      <w:r w:rsidRPr="00F93568">
        <w:t>Saro</w:t>
      </w:r>
      <w:proofErr w:type="spellEnd"/>
      <w:r w:rsidRPr="00F93568">
        <w:t xml:space="preserve"> </w:t>
      </w:r>
      <w:proofErr w:type="spellStart"/>
      <w:r w:rsidRPr="00F93568">
        <w:t>Wiwa</w:t>
      </w:r>
      <w:proofErr w:type="spellEnd"/>
      <w:r w:rsidRPr="00F93568">
        <w:t xml:space="preserve"> Polytechnic, </w:t>
      </w:r>
      <w:proofErr w:type="spellStart"/>
      <w:r w:rsidRPr="00F93568">
        <w:t>Bori</w:t>
      </w:r>
      <w:proofErr w:type="spellEnd"/>
      <w:r w:rsidRPr="00F93568">
        <w:t>, Rivers State, Nigeria</w:t>
      </w:r>
    </w:p>
    <w:p w:rsidR="00F93568" w:rsidRDefault="00F93568" w:rsidP="00D40F4E">
      <w:pPr>
        <w:pStyle w:val="NoSpacing"/>
        <w:jc w:val="center"/>
        <w:rPr>
          <w:b/>
        </w:rPr>
      </w:pPr>
    </w:p>
    <w:p w:rsidR="00F93568" w:rsidRDefault="00F93568" w:rsidP="00D40F4E">
      <w:pPr>
        <w:pStyle w:val="NoSpacing"/>
        <w:jc w:val="center"/>
        <w:rPr>
          <w:b/>
        </w:rPr>
      </w:pPr>
    </w:p>
    <w:p w:rsidR="00E552AC" w:rsidRDefault="00E552AC"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Default="00F93568" w:rsidP="00D40F4E">
      <w:pPr>
        <w:pStyle w:val="NoSpacing"/>
        <w:jc w:val="center"/>
      </w:pPr>
    </w:p>
    <w:p w:rsidR="00F93568" w:rsidRPr="00F93568" w:rsidRDefault="00F93568" w:rsidP="00F93568">
      <w:pPr>
        <w:pStyle w:val="NoSpacing"/>
        <w:numPr>
          <w:ilvl w:val="0"/>
          <w:numId w:val="1"/>
        </w:numPr>
        <w:spacing w:line="276" w:lineRule="auto"/>
        <w:jc w:val="both"/>
        <w:rPr>
          <w:b/>
        </w:rPr>
      </w:pPr>
      <w:r w:rsidRPr="00F93568">
        <w:rPr>
          <w:b/>
        </w:rPr>
        <w:t xml:space="preserve">Presented at 4th Conference on Microfinance and Enterprise Development (CMED). Theme: Indigenous technology and Value Chain Development. Held at </w:t>
      </w:r>
      <w:proofErr w:type="spellStart"/>
      <w:r w:rsidRPr="00F93568">
        <w:rPr>
          <w:b/>
        </w:rPr>
        <w:t>Eseiwi</w:t>
      </w:r>
      <w:proofErr w:type="spellEnd"/>
      <w:r w:rsidRPr="00F93568">
        <w:rPr>
          <w:b/>
        </w:rPr>
        <w:t xml:space="preserve"> Hall, LAPO Institute, Benin City Edo State. August 7th – 8</w:t>
      </w:r>
      <w:r w:rsidRPr="00F93568">
        <w:rPr>
          <w:b/>
          <w:vertAlign w:val="superscript"/>
        </w:rPr>
        <w:t>th</w:t>
      </w:r>
      <w:r w:rsidRPr="00F93568">
        <w:rPr>
          <w:b/>
        </w:rPr>
        <w:t>, 2018</w:t>
      </w:r>
    </w:p>
    <w:p w:rsidR="00C438D1" w:rsidRDefault="006B2946" w:rsidP="00C96E17">
      <w:pPr>
        <w:pStyle w:val="NoSpacing"/>
        <w:spacing w:line="480" w:lineRule="auto"/>
        <w:jc w:val="both"/>
        <w:rPr>
          <w:b/>
        </w:rPr>
      </w:pPr>
      <w:bookmarkStart w:id="0" w:name="_GoBack"/>
      <w:bookmarkEnd w:id="0"/>
      <w:r>
        <w:rPr>
          <w:b/>
        </w:rPr>
        <w:lastRenderedPageBreak/>
        <w:t>ABSTRACT</w:t>
      </w:r>
    </w:p>
    <w:p w:rsidR="00465110" w:rsidRDefault="000E0C92" w:rsidP="006B2946">
      <w:pPr>
        <w:pStyle w:val="NoSpacing"/>
        <w:jc w:val="both"/>
      </w:pPr>
      <w:r>
        <w:t>In Nigeria, more than 65% of active populations are often served by informal financial sector while 35% of the economically viable population benefits from the formal financial system. This paper therefore examines microfinance institutions and the challenges of poverty alleviation with implications for sustainable rural development. Using a linear model, we model the relationship between the activities of microfinance institutions and its impact on poverty alleviation in Nigeria which were disaggregated into Microfinance Loans and Advances (MFC), Long Term Investment by Microfinance Institutions (INV), and Number of Microfinance Institutions (NMFI). Time series data on these disaggregated variables are colle</w:t>
      </w:r>
      <w:r w:rsidR="00465110">
        <w:t>cted for the period 1990 – 2016</w:t>
      </w:r>
      <w:r>
        <w:t xml:space="preserve"> from Central Bank of Nigeria Statistical Bulletin.</w:t>
      </w:r>
      <w:r w:rsidR="00CB0496">
        <w:t xml:space="preserve"> The conclusion of the result show that </w:t>
      </w:r>
      <w:r w:rsidR="00CB0496" w:rsidRPr="003C042F">
        <w:t>microfinance</w:t>
      </w:r>
      <w:r w:rsidR="00CB0496">
        <w:t xml:space="preserve"> loans and advances</w:t>
      </w:r>
      <w:r w:rsidR="00CB0496" w:rsidRPr="003C042F">
        <w:t xml:space="preserve"> has a</w:t>
      </w:r>
      <w:r w:rsidR="00465110">
        <w:t>n</w:t>
      </w:r>
      <w:r w:rsidR="00CB0496" w:rsidRPr="003C042F">
        <w:t xml:space="preserve"> impact on poverty </w:t>
      </w:r>
      <w:r w:rsidR="00CB0496">
        <w:t>alleviation and also, investment by microfinance institutions if not targeted at the poor, will have no significant impact on poverty reduction.</w:t>
      </w:r>
      <w:r w:rsidR="006B2946">
        <w:t xml:space="preserve"> Therefore making </w:t>
      </w:r>
      <w:r w:rsidR="00465110">
        <w:t xml:space="preserve">investments of </w:t>
      </w:r>
      <w:r w:rsidR="006B2946">
        <w:t xml:space="preserve">microfinance institutions </w:t>
      </w:r>
      <w:r w:rsidR="00465110">
        <w:t xml:space="preserve">trustworthy, </w:t>
      </w:r>
      <w:r w:rsidR="006B2946">
        <w:t>ava</w:t>
      </w:r>
      <w:r w:rsidR="00465110">
        <w:t>ilable and</w:t>
      </w:r>
      <w:r w:rsidR="006B2946">
        <w:t xml:space="preserve"> accessible to patrons by down-playing the importance of collateral, </w:t>
      </w:r>
      <w:proofErr w:type="spellStart"/>
      <w:r w:rsidR="006B2946">
        <w:t>favouritism</w:t>
      </w:r>
      <w:proofErr w:type="spellEnd"/>
      <w:r w:rsidR="006B2946">
        <w:t xml:space="preserve">, </w:t>
      </w:r>
      <w:proofErr w:type="spellStart"/>
      <w:r w:rsidR="006B2946">
        <w:t>conditionalities</w:t>
      </w:r>
      <w:proofErr w:type="spellEnd"/>
      <w:r w:rsidR="006B2946">
        <w:t xml:space="preserve"> and inequalities can expressly translate into income earning capacity which would lead to an improved physical quality of life as well as sustainable rural development in Nigeria</w:t>
      </w:r>
      <w:r w:rsidR="00465110">
        <w:t>.</w:t>
      </w:r>
    </w:p>
    <w:p w:rsidR="00506E39" w:rsidRDefault="00CB0496" w:rsidP="006B2946">
      <w:pPr>
        <w:pStyle w:val="NoSpacing"/>
        <w:jc w:val="both"/>
      </w:pPr>
      <w:r>
        <w:t xml:space="preserve"> </w:t>
      </w:r>
      <w:r w:rsidR="000E0C92">
        <w:t xml:space="preserve"> </w:t>
      </w:r>
    </w:p>
    <w:p w:rsidR="000E0C92" w:rsidRPr="006B2946" w:rsidRDefault="006B2946" w:rsidP="00C96E17">
      <w:pPr>
        <w:pStyle w:val="NoSpacing"/>
        <w:spacing w:line="480" w:lineRule="auto"/>
        <w:jc w:val="both"/>
      </w:pPr>
      <w:r>
        <w:rPr>
          <w:b/>
        </w:rPr>
        <w:t xml:space="preserve">Keywords: </w:t>
      </w:r>
      <w:r>
        <w:t>Microfinance, poverty alleviation, challenges, rural development, sustainable.</w:t>
      </w:r>
    </w:p>
    <w:p w:rsidR="00E552AC" w:rsidRDefault="00E552AC" w:rsidP="00C96E17">
      <w:pPr>
        <w:pStyle w:val="NoSpacing"/>
        <w:spacing w:line="480" w:lineRule="auto"/>
        <w:jc w:val="both"/>
        <w:rPr>
          <w:b/>
        </w:rPr>
      </w:pPr>
    </w:p>
    <w:p w:rsidR="00C438D1" w:rsidRDefault="004F22EC" w:rsidP="00C96E17">
      <w:pPr>
        <w:pStyle w:val="NoSpacing"/>
        <w:spacing w:line="480" w:lineRule="auto"/>
        <w:jc w:val="both"/>
        <w:rPr>
          <w:b/>
        </w:rPr>
      </w:pPr>
      <w:r>
        <w:rPr>
          <w:b/>
        </w:rPr>
        <w:t>INTRODUCTION</w:t>
      </w:r>
    </w:p>
    <w:p w:rsidR="003B22B0" w:rsidRDefault="003B22B0" w:rsidP="003B22B0">
      <w:pPr>
        <w:spacing w:line="480" w:lineRule="auto"/>
        <w:jc w:val="both"/>
      </w:pPr>
      <w:r>
        <w:t xml:space="preserve">According to </w:t>
      </w:r>
      <w:proofErr w:type="spellStart"/>
      <w:r>
        <w:t>Adeyemi</w:t>
      </w:r>
      <w:proofErr w:type="spellEnd"/>
      <w:r>
        <w:t xml:space="preserve"> (2008) various governments of the world mostly the developing countries (including Nigeria) have continued to sought for ways of providing financial service to the poor through creation of agricultural development banks, special lending schemes, supporting the growth of co-operatives as well as encouraging other self-help groups. In addition to these, provision of credit to the less privileged has been considered a veritable tool for poverty reduction.</w:t>
      </w:r>
    </w:p>
    <w:p w:rsidR="003F56C4" w:rsidRDefault="003F56C4" w:rsidP="003B22B0">
      <w:pPr>
        <w:spacing w:line="480" w:lineRule="auto"/>
        <w:jc w:val="both"/>
      </w:pPr>
    </w:p>
    <w:p w:rsidR="003B22B0" w:rsidRDefault="003B22B0" w:rsidP="003B22B0">
      <w:pPr>
        <w:spacing w:line="480" w:lineRule="auto"/>
        <w:jc w:val="both"/>
      </w:pPr>
      <w:r>
        <w:t xml:space="preserve">Poverty is difficult to define. The multi-dimensional nature of poverty makes it to be most easily recognized than defined.  According to Watt (2000) “poverty is a state of being in which one is unable to meet his needs”. Poverty has been identified as one of the greatest challenges facing the Nigeria </w:t>
      </w:r>
      <w:r w:rsidR="003F56C4">
        <w:t>society in recent times</w:t>
      </w:r>
      <w:r>
        <w:t xml:space="preserve">. </w:t>
      </w:r>
      <w:r w:rsidR="003F56C4">
        <w:t xml:space="preserve">As noted by </w:t>
      </w:r>
      <w:r>
        <w:t>C</w:t>
      </w:r>
      <w:r w:rsidR="003F56C4">
        <w:t xml:space="preserve">entral </w:t>
      </w:r>
      <w:r>
        <w:t>B</w:t>
      </w:r>
      <w:r w:rsidR="003F56C4">
        <w:t xml:space="preserve">ank of </w:t>
      </w:r>
      <w:r>
        <w:t>N</w:t>
      </w:r>
      <w:r w:rsidR="003F56C4">
        <w:t>igeria (CBN) (</w:t>
      </w:r>
      <w:r>
        <w:t>2010</w:t>
      </w:r>
      <w:r w:rsidR="003F56C4">
        <w:t>) and World Bank</w:t>
      </w:r>
      <w:r>
        <w:t xml:space="preserve"> </w:t>
      </w:r>
      <w:r w:rsidR="003F56C4">
        <w:t>(</w:t>
      </w:r>
      <w:r>
        <w:t xml:space="preserve">2009), this situation is unfortunate given the country’s rich resources in terms of agriculture, crude oil, human capital and many other benefits of nature. </w:t>
      </w:r>
      <w:r>
        <w:lastRenderedPageBreak/>
        <w:t xml:space="preserve">Unfortunately, estimated 70% of the country’s population are classified as poor, the situation is severe in the rural areas where about 80% of the country’s population resides. According to Adam (2007) </w:t>
      </w:r>
      <w:r w:rsidR="003F56C4">
        <w:t xml:space="preserve">and </w:t>
      </w:r>
      <w:r>
        <w:t>Littlefield (2005)</w:t>
      </w:r>
      <w:r w:rsidR="003F56C4">
        <w:t>,</w:t>
      </w:r>
      <w:r>
        <w:t xml:space="preserve"> these people lack access to basic social services and infrastructure. Their dependence is on subsistence agriculture for their food and </w:t>
      </w:r>
      <w:r w:rsidR="00D52D95">
        <w:t>meager</w:t>
      </w:r>
      <w:r>
        <w:t xml:space="preserve"> income. As further noted by </w:t>
      </w:r>
      <w:proofErr w:type="spellStart"/>
      <w:r>
        <w:t>Eadgerwood</w:t>
      </w:r>
      <w:proofErr w:type="spellEnd"/>
      <w:r>
        <w:t xml:space="preserve"> (2009) women group are the most vulnerable to the incidence of poverty.</w:t>
      </w:r>
    </w:p>
    <w:p w:rsidR="003F56C4" w:rsidRDefault="003F56C4" w:rsidP="003B22B0">
      <w:pPr>
        <w:spacing w:line="480" w:lineRule="auto"/>
        <w:jc w:val="both"/>
      </w:pPr>
    </w:p>
    <w:p w:rsidR="003F56C4" w:rsidRDefault="003B22B0" w:rsidP="003B22B0">
      <w:pPr>
        <w:spacing w:line="480" w:lineRule="auto"/>
        <w:jc w:val="both"/>
      </w:pPr>
      <w:r>
        <w:t xml:space="preserve">It is important to state that efforts geared towards expanding the economic frontiers of the rural areas always fail because of paucity and hindered access to loanable funds. According to </w:t>
      </w:r>
      <w:proofErr w:type="spellStart"/>
      <w:r>
        <w:t>Ijere</w:t>
      </w:r>
      <w:proofErr w:type="spellEnd"/>
      <w:r>
        <w:t xml:space="preserve"> (1992) </w:t>
      </w:r>
      <w:proofErr w:type="spellStart"/>
      <w:r>
        <w:t>Okafor</w:t>
      </w:r>
      <w:proofErr w:type="spellEnd"/>
      <w:r>
        <w:t xml:space="preserve"> (1999) and </w:t>
      </w:r>
      <w:proofErr w:type="spellStart"/>
      <w:r>
        <w:t>Tanko</w:t>
      </w:r>
      <w:proofErr w:type="spellEnd"/>
      <w:r>
        <w:t xml:space="preserve"> (2007) financial capital plays significant role in terms of production capacity to induce economic growth and development. These informed the need to direct credit to rural economies in order to stimulate/empower the rural poor. It therefore calls for effective mobilization of domestic financial resources and appropriating them efficiently mostly to boost the rural economies. As further opined by </w:t>
      </w:r>
      <w:proofErr w:type="spellStart"/>
      <w:r>
        <w:t>Soludo</w:t>
      </w:r>
      <w:proofErr w:type="spellEnd"/>
      <w:r>
        <w:t xml:space="preserve"> (2005), there is need to put in place well intended financial </w:t>
      </w:r>
      <w:proofErr w:type="spellStart"/>
      <w:r>
        <w:t>programmes</w:t>
      </w:r>
      <w:proofErr w:type="spellEnd"/>
      <w:r>
        <w:t xml:space="preserve"> in order to reduce poverty through empowerment. This is considered as critical factor that would support a robust economic growth</w:t>
      </w:r>
      <w:r w:rsidR="003F56C4">
        <w:t xml:space="preserve"> which is necessary </w:t>
      </w:r>
      <w:r>
        <w:t xml:space="preserve">through eliminating various hindrances to accessing credit facilities and other factors of production. By so doing, the unintended capacity of the rural poor in terms of entrepreneurship would be positively influenced through the provision of microfinance services to enable them engage in economic activities. The effects of this on the general economy would mean-greater self-reliant, increased employment, boosted household income and general wealth creation. </w:t>
      </w:r>
    </w:p>
    <w:p w:rsidR="003F56C4" w:rsidRDefault="003F56C4" w:rsidP="003B22B0">
      <w:pPr>
        <w:spacing w:line="480" w:lineRule="auto"/>
        <w:jc w:val="both"/>
      </w:pPr>
    </w:p>
    <w:p w:rsidR="003B22B0" w:rsidRDefault="003B22B0" w:rsidP="003B22B0">
      <w:pPr>
        <w:spacing w:line="480" w:lineRule="auto"/>
        <w:jc w:val="both"/>
      </w:pPr>
      <w:r>
        <w:t xml:space="preserve">As enumerated already, the federal government has, in the past, initiated various policies that enabled the growth of the MFIs with the aim of enhancing the flow of financial services, and </w:t>
      </w:r>
      <w:r>
        <w:lastRenderedPageBreak/>
        <w:t xml:space="preserve">which target was the rural poor. It could therefore be said that microfinance institutions have witnessed rapid growth in recent times. It has enjoyed a quantum leap from low level income based initially considered to the mainstream of development discourse in respect of poverty reduction/alleviation. Against this celebrated position of the MFIs, </w:t>
      </w:r>
      <w:proofErr w:type="spellStart"/>
      <w:r>
        <w:t>Soludo</w:t>
      </w:r>
      <w:proofErr w:type="spellEnd"/>
      <w:r>
        <w:t xml:space="preserve"> (2006) observed that “rural markets in Africa and Nigeria in particular are ill-prepared for the 21</w:t>
      </w:r>
      <w:r w:rsidRPr="00380C0D">
        <w:rPr>
          <w:vertAlign w:val="superscript"/>
        </w:rPr>
        <w:t>st</w:t>
      </w:r>
      <w:r>
        <w:t xml:space="preserve"> century”. This is because about 75% of the country populations still have hindered access to institutional financial services.</w:t>
      </w:r>
    </w:p>
    <w:p w:rsidR="003B22B0" w:rsidRDefault="003B22B0" w:rsidP="003B22B0">
      <w:pPr>
        <w:spacing w:line="480" w:lineRule="auto"/>
        <w:jc w:val="both"/>
      </w:pPr>
      <w:r>
        <w:t xml:space="preserve">Taking the CBN (2006) position into consideration, MFIs can be seen as one of the major poverty reduction strategy. This means that an improved access to credit facilities can boost the consumption level of the poor people and they can manage some aspects of their risk, improve assets base as well as develop micro enterprises. </w:t>
      </w:r>
    </w:p>
    <w:p w:rsidR="00B00C01" w:rsidRPr="00C96E17" w:rsidRDefault="004F22EC" w:rsidP="00C96E17">
      <w:pPr>
        <w:pStyle w:val="NoSpacing"/>
        <w:spacing w:line="480" w:lineRule="auto"/>
        <w:jc w:val="both"/>
        <w:rPr>
          <w:b/>
        </w:rPr>
      </w:pPr>
      <w:r>
        <w:rPr>
          <w:b/>
        </w:rPr>
        <w:t xml:space="preserve">METHODS AND </w:t>
      </w:r>
      <w:r w:rsidRPr="00C96E17">
        <w:rPr>
          <w:b/>
        </w:rPr>
        <w:t>MODE</w:t>
      </w:r>
      <w:r>
        <w:rPr>
          <w:b/>
        </w:rPr>
        <w:t>L</w:t>
      </w:r>
      <w:r w:rsidRPr="00C96E17">
        <w:rPr>
          <w:b/>
        </w:rPr>
        <w:t xml:space="preserve"> SPECIFICATION</w:t>
      </w:r>
    </w:p>
    <w:p w:rsidR="00B00C01" w:rsidRDefault="00B00C01" w:rsidP="00C96E17">
      <w:pPr>
        <w:pStyle w:val="NoSpacing"/>
        <w:spacing w:line="480" w:lineRule="auto"/>
        <w:jc w:val="both"/>
      </w:pPr>
      <w:r>
        <w:t>Secondary data was employed to ascertain the impact of the activities of microfinance institutions on poverty alleviation in Nigeria.</w:t>
      </w:r>
      <w:r w:rsidR="00763B1D">
        <w:t xml:space="preserve"> The activities of these microfinance institutions</w:t>
      </w:r>
      <w:r w:rsidR="00A51ABA">
        <w:t xml:space="preserve"> are disaggregated into Microfinance Loans and Advances (MFC), Long Term Investment by Microfinance Institutions (INV), and Number of Microfinance</w:t>
      </w:r>
      <w:r w:rsidR="00C96E17">
        <w:t xml:space="preserve"> Institutions (NMFI). Time series data on these disaggregated variables are collected for the period 1990 – 2016, from </w:t>
      </w:r>
      <w:r w:rsidR="00F51098">
        <w:t xml:space="preserve">Central Bank </w:t>
      </w:r>
      <w:r w:rsidR="00C96E17">
        <w:t>of Nigeria</w:t>
      </w:r>
      <w:r w:rsidR="00734E1A">
        <w:t xml:space="preserve"> Statistical Bulletin.</w:t>
      </w:r>
    </w:p>
    <w:p w:rsidR="00734E1A" w:rsidRDefault="00734E1A" w:rsidP="00C96E17">
      <w:pPr>
        <w:pStyle w:val="NoSpacing"/>
        <w:spacing w:line="480" w:lineRule="auto"/>
        <w:jc w:val="both"/>
      </w:pPr>
    </w:p>
    <w:p w:rsidR="00734E1A" w:rsidRDefault="00734E1A" w:rsidP="00C96E17">
      <w:pPr>
        <w:pStyle w:val="NoSpacing"/>
        <w:spacing w:line="480" w:lineRule="auto"/>
        <w:jc w:val="both"/>
      </w:pPr>
      <w:r>
        <w:t xml:space="preserve">Using a linear model based on the works of </w:t>
      </w:r>
      <w:proofErr w:type="spellStart"/>
      <w:r>
        <w:t>Obisesan</w:t>
      </w:r>
      <w:proofErr w:type="spellEnd"/>
      <w:r>
        <w:t xml:space="preserve"> and </w:t>
      </w:r>
      <w:proofErr w:type="spellStart"/>
      <w:r>
        <w:t>Oyedeke</w:t>
      </w:r>
      <w:proofErr w:type="spellEnd"/>
      <w:r>
        <w:t xml:space="preserve"> (2015), we model the relationship between the activities of microfinance institutions and its impact on poverty alleviation in Nigeria.</w:t>
      </w:r>
    </w:p>
    <w:p w:rsidR="00734E1A" w:rsidRDefault="00734E1A" w:rsidP="00735C8A">
      <w:pPr>
        <w:pStyle w:val="NoSpacing"/>
        <w:jc w:val="both"/>
      </w:pPr>
    </w:p>
    <w:p w:rsidR="00734E1A" w:rsidRPr="00735C8A" w:rsidRDefault="00735C8A" w:rsidP="00C96E17">
      <w:pPr>
        <w:pStyle w:val="NoSpacing"/>
        <w:spacing w:line="480" w:lineRule="auto"/>
        <w:jc w:val="both"/>
      </w:pPr>
      <m:oMathPara>
        <m:oMathParaPr>
          <m:jc m:val="left"/>
        </m:oMathParaPr>
        <m:oMath>
          <m:r>
            <m:rPr>
              <m:sty m:val="p"/>
            </m:rPr>
            <w:rPr>
              <w:rFonts w:ascii="Cambria Math" w:hAnsi="Cambria Math"/>
            </w:rPr>
            <m:t>PI = f</m:t>
          </m:r>
          <m:d>
            <m:dPr>
              <m:ctrlPr>
                <w:rPr>
                  <w:rFonts w:ascii="Cambria Math" w:hAnsi="Cambria Math"/>
                </w:rPr>
              </m:ctrlPr>
            </m:dPr>
            <m:e>
              <m:r>
                <m:rPr>
                  <m:sty m:val="p"/>
                </m:rPr>
                <w:rPr>
                  <w:rFonts w:ascii="Cambria Math" w:hAnsi="Cambria Math"/>
                </w:rPr>
                <m:t>MFC, INV, NMFI</m:t>
              </m:r>
            </m:e>
          </m:d>
          <m:r>
            <m:rPr>
              <m:sty m:val="p"/>
            </m:rPr>
            <w:rPr>
              <w:rFonts w:ascii="Cambria Math" w:hAnsi="Cambria Math"/>
            </w:rPr>
            <m:t xml:space="preserve">                      …                     …                 …               …                      (1)</m:t>
          </m:r>
        </m:oMath>
      </m:oMathPara>
    </w:p>
    <w:p w:rsidR="00734E1A" w:rsidRDefault="00734E1A" w:rsidP="00C96E17">
      <w:pPr>
        <w:pStyle w:val="NoSpacing"/>
        <w:spacing w:line="480" w:lineRule="auto"/>
        <w:jc w:val="both"/>
      </w:pPr>
      <w:r>
        <w:t xml:space="preserve">For estimation purpose, we </w:t>
      </w:r>
      <w:r w:rsidR="0029486B">
        <w:t>linearize e</w:t>
      </w:r>
      <w:r>
        <w:t>quation (1) above as follows:</w:t>
      </w:r>
    </w:p>
    <w:p w:rsidR="00E2238A" w:rsidRPr="00735C8A" w:rsidRDefault="00F93568" w:rsidP="00C96E17">
      <w:pPr>
        <w:pStyle w:val="NoSpacing"/>
        <w:spacing w:line="480" w:lineRule="auto"/>
        <w:jc w:val="both"/>
      </w:pPr>
      <m:oMathPara>
        <m:oMathParaPr>
          <m:jc m:val="left"/>
        </m:oMathParaPr>
        <m:oMath>
          <m:sSub>
            <m:sSubPr>
              <m:ctrlPr>
                <w:rPr>
                  <w:rFonts w:ascii="Cambria Math" w:hAnsi="Cambria Math"/>
                </w:rPr>
              </m:ctrlPr>
            </m:sSubPr>
            <m:e>
              <m:r>
                <m:rPr>
                  <m:sty m:val="p"/>
                </m:rPr>
                <w:rPr>
                  <w:rFonts w:ascii="Cambria Math" w:hAnsi="Cambria Math"/>
                </w:rPr>
                <m:t>PI</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MFC</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INV</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NMFI</m:t>
              </m:r>
            </m:e>
            <m:sub>
              <m:r>
                <m:rPr>
                  <m:sty m:val="p"/>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t</m:t>
              </m:r>
            </m:sub>
          </m:sSub>
          <m:r>
            <m:rPr>
              <m:sty m:val="p"/>
            </m:rPr>
            <w:rPr>
              <w:rFonts w:ascii="Cambria Math" w:hAnsi="Cambria Math"/>
            </w:rPr>
            <m:t xml:space="preserve">       …                     …                 …                (2)</m:t>
          </m:r>
        </m:oMath>
      </m:oMathPara>
    </w:p>
    <w:p w:rsidR="00735C8A" w:rsidRDefault="00735C8A" w:rsidP="00735C8A">
      <w:pPr>
        <w:pStyle w:val="NoSpacing"/>
        <w:jc w:val="both"/>
      </w:pPr>
    </w:p>
    <w:p w:rsidR="00735C8A" w:rsidRDefault="00735C8A" w:rsidP="00C96E17">
      <w:pPr>
        <w:pStyle w:val="NoSpacing"/>
        <w:spacing w:line="480" w:lineRule="auto"/>
        <w:jc w:val="both"/>
      </w:pPr>
      <w:r>
        <w:t>Where:</w:t>
      </w:r>
    </w:p>
    <w:p w:rsidR="00734E1A" w:rsidRDefault="00F93568" w:rsidP="00C96E17">
      <w:pPr>
        <w:pStyle w:val="NoSpacing"/>
        <w:spacing w:line="480" w:lineRule="auto"/>
        <w:jc w:val="both"/>
      </w:pPr>
      <m:oMath>
        <m:sSub>
          <m:sSubPr>
            <m:ctrlPr>
              <w:rPr>
                <w:rFonts w:ascii="Cambria Math" w:hAnsi="Cambria Math"/>
              </w:rPr>
            </m:ctrlPr>
          </m:sSubPr>
          <m:e>
            <m:r>
              <m:rPr>
                <m:sty m:val="p"/>
              </m:rPr>
              <w:rPr>
                <w:rFonts w:ascii="Cambria Math" w:hAnsi="Cambria Math"/>
              </w:rPr>
              <m:t>PI</m:t>
            </m:r>
          </m:e>
          <m:sub>
            <m:r>
              <m:rPr>
                <m:sty m:val="p"/>
              </m:rPr>
              <w:rPr>
                <w:rFonts w:ascii="Cambria Math" w:hAnsi="Cambria Math"/>
              </w:rPr>
              <m:t>t</m:t>
            </m:r>
          </m:sub>
        </m:sSub>
      </m:oMath>
      <w:r w:rsidR="00735C8A">
        <w:tab/>
      </w:r>
      <w:proofErr w:type="gramStart"/>
      <w:r w:rsidR="00735C8A">
        <w:t>=  Poverty</w:t>
      </w:r>
      <w:proofErr w:type="gramEnd"/>
      <w:r w:rsidR="00735C8A">
        <w:t xml:space="preserve"> Index (%)</w:t>
      </w:r>
    </w:p>
    <w:p w:rsidR="00735C8A" w:rsidRDefault="00F93568" w:rsidP="00C96E17">
      <w:pPr>
        <w:pStyle w:val="NoSpacing"/>
        <w:spacing w:line="480" w:lineRule="auto"/>
        <w:jc w:val="both"/>
      </w:pPr>
      <m:oMath>
        <m:sSub>
          <m:sSubPr>
            <m:ctrlPr>
              <w:rPr>
                <w:rFonts w:ascii="Cambria Math" w:hAnsi="Cambria Math"/>
              </w:rPr>
            </m:ctrlPr>
          </m:sSubPr>
          <m:e>
            <m:r>
              <m:rPr>
                <m:sty m:val="p"/>
              </m:rPr>
              <w:rPr>
                <w:rFonts w:ascii="Cambria Math" w:hAnsi="Cambria Math"/>
              </w:rPr>
              <m:t>MFC</m:t>
            </m:r>
          </m:e>
          <m:sub>
            <m:r>
              <m:rPr>
                <m:sty m:val="p"/>
              </m:rPr>
              <w:rPr>
                <w:rFonts w:ascii="Cambria Math" w:hAnsi="Cambria Math"/>
              </w:rPr>
              <m:t>t</m:t>
            </m:r>
          </m:sub>
        </m:sSub>
      </m:oMath>
      <w:r w:rsidR="003A4DD1">
        <w:tab/>
        <w:t>= Microfinance Loans and Advances (</w:t>
      </w:r>
      <w:r w:rsidR="003A4DD1" w:rsidRPr="003A4DD1">
        <w:rPr>
          <w:dstrike/>
        </w:rPr>
        <w:t>N</w:t>
      </w:r>
      <w:r w:rsidR="003A4DD1">
        <w:t>m)</w:t>
      </w:r>
    </w:p>
    <w:p w:rsidR="003A4DD1" w:rsidRDefault="00F93568" w:rsidP="00C96E17">
      <w:pPr>
        <w:pStyle w:val="NoSpacing"/>
        <w:spacing w:line="480" w:lineRule="auto"/>
        <w:jc w:val="both"/>
      </w:pPr>
      <m:oMath>
        <m:sSub>
          <m:sSubPr>
            <m:ctrlPr>
              <w:rPr>
                <w:rFonts w:ascii="Cambria Math" w:hAnsi="Cambria Math"/>
              </w:rPr>
            </m:ctrlPr>
          </m:sSubPr>
          <m:e>
            <m:r>
              <m:rPr>
                <m:sty m:val="p"/>
              </m:rPr>
              <w:rPr>
                <w:rFonts w:ascii="Cambria Math" w:hAnsi="Cambria Math"/>
              </w:rPr>
              <m:t>INV</m:t>
            </m:r>
          </m:e>
          <m:sub>
            <m:r>
              <m:rPr>
                <m:sty m:val="p"/>
              </m:rPr>
              <w:rPr>
                <w:rFonts w:ascii="Cambria Math" w:hAnsi="Cambria Math"/>
              </w:rPr>
              <m:t>t</m:t>
            </m:r>
          </m:sub>
        </m:sSub>
      </m:oMath>
      <w:r w:rsidR="003A4DD1">
        <w:tab/>
        <w:t xml:space="preserve">= </w:t>
      </w:r>
      <w:r w:rsidR="005E7914">
        <w:t>Long Term Investment by Microfinance Institutions (</w:t>
      </w:r>
      <w:r w:rsidR="005E7914" w:rsidRPr="005E7914">
        <w:rPr>
          <w:dstrike/>
        </w:rPr>
        <w:t>N</w:t>
      </w:r>
      <w:r w:rsidR="005E7914">
        <w:t>m)</w:t>
      </w:r>
    </w:p>
    <w:p w:rsidR="005E7914" w:rsidRDefault="00F93568" w:rsidP="00C96E17">
      <w:pPr>
        <w:pStyle w:val="NoSpacing"/>
        <w:spacing w:line="480" w:lineRule="auto"/>
        <w:jc w:val="both"/>
      </w:pPr>
      <m:oMath>
        <m:sSub>
          <m:sSubPr>
            <m:ctrlPr>
              <w:rPr>
                <w:rFonts w:ascii="Cambria Math" w:hAnsi="Cambria Math"/>
              </w:rPr>
            </m:ctrlPr>
          </m:sSubPr>
          <m:e>
            <m:r>
              <m:rPr>
                <m:sty m:val="p"/>
              </m:rPr>
              <w:rPr>
                <w:rFonts w:ascii="Cambria Math" w:hAnsi="Cambria Math"/>
              </w:rPr>
              <m:t>NMFI</m:t>
            </m:r>
          </m:e>
          <m:sub>
            <m:r>
              <m:rPr>
                <m:sty m:val="p"/>
              </m:rPr>
              <w:rPr>
                <w:rFonts w:ascii="Cambria Math" w:hAnsi="Cambria Math"/>
              </w:rPr>
              <m:t>t</m:t>
            </m:r>
          </m:sub>
        </m:sSub>
      </m:oMath>
      <w:r w:rsidR="005E7914">
        <w:tab/>
        <w:t>= Number of Development and Specialized Banks/Institutions (Microfinance Banks)</w:t>
      </w:r>
    </w:p>
    <w:p w:rsidR="005E7914" w:rsidRDefault="00F93568" w:rsidP="00C96E17">
      <w:pPr>
        <w:pStyle w:val="NoSpacing"/>
        <w:spacing w:line="480" w:lineRule="auto"/>
        <w:jc w:val="both"/>
      </w:pP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t</m:t>
            </m:r>
          </m:sub>
        </m:sSub>
      </m:oMath>
      <w:r w:rsidR="007F5260">
        <w:tab/>
        <w:t>= Random Error Term</w:t>
      </w:r>
    </w:p>
    <w:p w:rsidR="00CE76B3" w:rsidRDefault="00CE76B3" w:rsidP="00C96E17">
      <w:pPr>
        <w:pStyle w:val="NoSpacing"/>
        <w:spacing w:line="480" w:lineRule="auto"/>
        <w:jc w:val="both"/>
      </w:pPr>
      <w:r>
        <w:t xml:space="preserve">Based </w:t>
      </w:r>
      <w:r w:rsidR="00B31D79">
        <w:t>on the theoretical framework</w:t>
      </w:r>
      <w:r>
        <w:t>, the a priori</w:t>
      </w:r>
      <w:r w:rsidR="00B31D79">
        <w:t xml:space="preserve"> expectations are </w:t>
      </w: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r>
          <w:rPr>
            <w:rFonts w:ascii="Cambria Math" w:hAnsi="Cambria Math"/>
          </w:rPr>
          <m:t xml:space="preserve"> and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3</m:t>
            </m:r>
          </m:sub>
        </m:sSub>
        <m:r>
          <w:rPr>
            <w:rFonts w:ascii="Cambria Math" w:hAnsi="Cambria Math"/>
          </w:rPr>
          <m:t>&lt;0</m:t>
        </m:r>
      </m:oMath>
    </w:p>
    <w:p w:rsidR="00B31D79" w:rsidRDefault="00B31D79" w:rsidP="00B31D79">
      <w:pPr>
        <w:pStyle w:val="NoSpacing"/>
        <w:jc w:val="both"/>
      </w:pPr>
    </w:p>
    <w:p w:rsidR="00B31D79" w:rsidRDefault="00B31D79" w:rsidP="00C96E17">
      <w:pPr>
        <w:pStyle w:val="NoSpacing"/>
        <w:spacing w:line="480" w:lineRule="auto"/>
        <w:jc w:val="both"/>
      </w:pPr>
      <w:r>
        <w:t>To avoid obtaining spurious regression results that would make the estimate biased and inconsistent, the time series properties of the data set employed in estimating equation (2) was ascertained.</w:t>
      </w:r>
    </w:p>
    <w:p w:rsidR="00B31D79" w:rsidRDefault="00B31D79" w:rsidP="005122EC">
      <w:pPr>
        <w:pStyle w:val="NoSpacing"/>
        <w:jc w:val="both"/>
      </w:pPr>
    </w:p>
    <w:p w:rsidR="00B31D79" w:rsidRDefault="00B31D79" w:rsidP="00C96E17">
      <w:pPr>
        <w:pStyle w:val="NoSpacing"/>
        <w:spacing w:line="480" w:lineRule="auto"/>
        <w:jc w:val="both"/>
      </w:pPr>
      <w:r>
        <w:t>Using the Augmented Dickey Fuller (ADF) test due to Dickey and Fuller (1979) and Philip-</w:t>
      </w:r>
      <w:proofErr w:type="spellStart"/>
      <w:r>
        <w:t>Perron</w:t>
      </w:r>
      <w:proofErr w:type="spellEnd"/>
      <w:r>
        <w:t xml:space="preserve"> (PP) test due to Philip and </w:t>
      </w:r>
      <w:proofErr w:type="spellStart"/>
      <w:r>
        <w:t>Perron</w:t>
      </w:r>
      <w:proofErr w:type="spellEnd"/>
      <w:r>
        <w:t xml:space="preserve"> (1988), the </w:t>
      </w:r>
      <w:proofErr w:type="spellStart"/>
      <w:r>
        <w:t>stationarity</w:t>
      </w:r>
      <w:proofErr w:type="spellEnd"/>
      <w:r>
        <w:t xml:space="preserve"> of the data set was established. </w:t>
      </w:r>
      <w:proofErr w:type="spellStart"/>
      <w:r>
        <w:t>Stationarity</w:t>
      </w:r>
      <w:proofErr w:type="spellEnd"/>
      <w:r w:rsidR="009A7BF5">
        <w:t xml:space="preserve"> – that is absence of unit root,</w:t>
      </w:r>
      <w:r>
        <w:t xml:space="preserve"> entails the stability of the</w:t>
      </w:r>
      <w:r w:rsidR="00162EE3">
        <w:t xml:space="preserve"> data</w:t>
      </w:r>
      <w:r>
        <w:t xml:space="preserve"> set employed over time.</w:t>
      </w:r>
      <w:r w:rsidR="001A1B74">
        <w:t xml:space="preserve"> This </w:t>
      </w:r>
      <w:r w:rsidR="009A7BF5">
        <w:t>implies that</w:t>
      </w:r>
      <w:r w:rsidR="001A1B74">
        <w:t xml:space="preserve"> the purpose of forecasting</w:t>
      </w:r>
      <w:r w:rsidR="009A7BF5">
        <w:t xml:space="preserve"> </w:t>
      </w:r>
      <w:r w:rsidR="001A1B74">
        <w:t>(</w:t>
      </w:r>
      <w:r w:rsidR="009A7BF5">
        <w:t>policy formulation</w:t>
      </w:r>
      <w:r w:rsidR="001A1B74">
        <w:t>)</w:t>
      </w:r>
      <w:r w:rsidR="009A7BF5">
        <w:t xml:space="preserve"> from the data set</w:t>
      </w:r>
      <w:r w:rsidR="001A1B74">
        <w:t xml:space="preserve"> employed</w:t>
      </w:r>
      <w:r w:rsidR="009A7BF5">
        <w:t xml:space="preserve"> will</w:t>
      </w:r>
      <w:r w:rsidR="001A1B74">
        <w:t xml:space="preserve"> be more of practical value compared to when the data set is </w:t>
      </w:r>
      <w:r w:rsidR="00EC2A0B">
        <w:t>non-stationary</w:t>
      </w:r>
      <w:r w:rsidR="001A1B74">
        <w:t>.</w:t>
      </w:r>
      <w:r w:rsidR="003F56C4">
        <w:t xml:space="preserve"> </w:t>
      </w:r>
      <w:r>
        <w:t xml:space="preserve">Furthermore, the study adopted the Maximum likelihood test procedure due to </w:t>
      </w:r>
      <w:proofErr w:type="spellStart"/>
      <w:r>
        <w:t>Johanson</w:t>
      </w:r>
      <w:proofErr w:type="spellEnd"/>
      <w:r>
        <w:t xml:space="preserve"> and </w:t>
      </w:r>
      <w:proofErr w:type="spellStart"/>
      <w:r>
        <w:t>Juselius</w:t>
      </w:r>
      <w:proofErr w:type="spellEnd"/>
      <w:r>
        <w:t xml:space="preserve"> (1990) to test</w:t>
      </w:r>
      <w:r w:rsidR="00A66BF0">
        <w:t xml:space="preserve"> for the presence or </w:t>
      </w:r>
      <w:r>
        <w:t>other</w:t>
      </w:r>
      <w:r w:rsidR="00A66BF0">
        <w:t>wise</w:t>
      </w:r>
      <w:r>
        <w:t xml:space="preserve"> of co</w:t>
      </w:r>
      <w:r w:rsidR="00F51098">
        <w:t xml:space="preserve">-integration. </w:t>
      </w:r>
      <w:r>
        <w:t>Equation 3 is estimated using the ordinary least squar</w:t>
      </w:r>
      <w:r w:rsidR="00A975F9">
        <w:t>e method. E-views 7.1 statistical package is used for the data analysis.</w:t>
      </w:r>
    </w:p>
    <w:p w:rsidR="00E552AC" w:rsidRDefault="00E552AC" w:rsidP="00C96E17">
      <w:pPr>
        <w:pStyle w:val="NoSpacing"/>
        <w:spacing w:line="480" w:lineRule="auto"/>
        <w:jc w:val="both"/>
        <w:rPr>
          <w:b/>
        </w:rPr>
      </w:pPr>
    </w:p>
    <w:p w:rsidR="005122EC" w:rsidRPr="005122EC" w:rsidRDefault="005122EC" w:rsidP="00C96E17">
      <w:pPr>
        <w:pStyle w:val="NoSpacing"/>
        <w:spacing w:line="480" w:lineRule="auto"/>
        <w:jc w:val="both"/>
        <w:rPr>
          <w:b/>
        </w:rPr>
      </w:pPr>
      <w:r w:rsidRPr="005122EC">
        <w:rPr>
          <w:b/>
        </w:rPr>
        <w:t>EMPIRICAL RESULTS AND DISCUSSIONS</w:t>
      </w:r>
    </w:p>
    <w:p w:rsidR="005122EC" w:rsidRDefault="00785883" w:rsidP="00C96E17">
      <w:pPr>
        <w:pStyle w:val="NoSpacing"/>
        <w:spacing w:line="480" w:lineRule="auto"/>
        <w:jc w:val="both"/>
      </w:pPr>
      <w:r>
        <w:t xml:space="preserve">Table 1: </w:t>
      </w:r>
      <w:r w:rsidR="005122EC">
        <w:t xml:space="preserve">Unit Root Test Result </w:t>
      </w:r>
    </w:p>
    <w:tbl>
      <w:tblPr>
        <w:tblStyle w:val="TableGrid"/>
        <w:tblW w:w="0" w:type="auto"/>
        <w:tblLayout w:type="fixed"/>
        <w:tblLook w:val="04A0" w:firstRow="1" w:lastRow="0" w:firstColumn="1" w:lastColumn="0" w:noHBand="0" w:noVBand="1"/>
      </w:tblPr>
      <w:tblGrid>
        <w:gridCol w:w="918"/>
        <w:gridCol w:w="967"/>
        <w:gridCol w:w="925"/>
        <w:gridCol w:w="898"/>
        <w:gridCol w:w="999"/>
        <w:gridCol w:w="990"/>
        <w:gridCol w:w="981"/>
        <w:gridCol w:w="990"/>
        <w:gridCol w:w="1182"/>
      </w:tblGrid>
      <w:tr w:rsidR="00B105E8" w:rsidRPr="009508EB" w:rsidTr="00744E3C">
        <w:tc>
          <w:tcPr>
            <w:tcW w:w="918" w:type="dxa"/>
          </w:tcPr>
          <w:p w:rsidR="00B105E8" w:rsidRPr="009508EB" w:rsidRDefault="00B105E8" w:rsidP="00B105E8">
            <w:pPr>
              <w:pStyle w:val="NoSpacing"/>
              <w:spacing w:line="480" w:lineRule="auto"/>
              <w:jc w:val="center"/>
              <w:rPr>
                <w:sz w:val="22"/>
              </w:rPr>
            </w:pPr>
          </w:p>
        </w:tc>
        <w:tc>
          <w:tcPr>
            <w:tcW w:w="2790" w:type="dxa"/>
            <w:gridSpan w:val="3"/>
          </w:tcPr>
          <w:p w:rsidR="00B105E8" w:rsidRPr="009508EB" w:rsidRDefault="00B105E8" w:rsidP="00B105E8">
            <w:pPr>
              <w:pStyle w:val="NoSpacing"/>
              <w:spacing w:line="480" w:lineRule="auto"/>
              <w:jc w:val="center"/>
              <w:rPr>
                <w:sz w:val="22"/>
              </w:rPr>
            </w:pPr>
            <w:r w:rsidRPr="009508EB">
              <w:rPr>
                <w:sz w:val="22"/>
              </w:rPr>
              <w:t>ADF Statistics</w:t>
            </w:r>
          </w:p>
        </w:tc>
        <w:tc>
          <w:tcPr>
            <w:tcW w:w="999" w:type="dxa"/>
            <w:vMerge w:val="restart"/>
          </w:tcPr>
          <w:p w:rsidR="00B105E8" w:rsidRPr="009508EB" w:rsidRDefault="00B105E8" w:rsidP="00AB05FC">
            <w:pPr>
              <w:pStyle w:val="NoSpacing"/>
              <w:spacing w:line="480" w:lineRule="auto"/>
              <w:ind w:left="-99" w:right="-108"/>
              <w:jc w:val="center"/>
              <w:rPr>
                <w:sz w:val="22"/>
              </w:rPr>
            </w:pPr>
            <w:r w:rsidRPr="009508EB">
              <w:rPr>
                <w:sz w:val="22"/>
              </w:rPr>
              <w:t xml:space="preserve">Order of </w:t>
            </w:r>
            <w:r w:rsidRPr="009508EB">
              <w:rPr>
                <w:sz w:val="22"/>
              </w:rPr>
              <w:lastRenderedPageBreak/>
              <w:t>Integration</w:t>
            </w:r>
          </w:p>
        </w:tc>
        <w:tc>
          <w:tcPr>
            <w:tcW w:w="2961" w:type="dxa"/>
            <w:gridSpan w:val="3"/>
          </w:tcPr>
          <w:p w:rsidR="00B105E8" w:rsidRPr="009508EB" w:rsidRDefault="00B105E8" w:rsidP="00B105E8">
            <w:pPr>
              <w:pStyle w:val="NoSpacing"/>
              <w:spacing w:line="480" w:lineRule="auto"/>
              <w:jc w:val="center"/>
              <w:rPr>
                <w:sz w:val="22"/>
              </w:rPr>
            </w:pPr>
            <w:r w:rsidRPr="009508EB">
              <w:rPr>
                <w:sz w:val="22"/>
              </w:rPr>
              <w:lastRenderedPageBreak/>
              <w:t>Phillip-</w:t>
            </w:r>
            <w:proofErr w:type="spellStart"/>
            <w:r w:rsidRPr="009508EB">
              <w:rPr>
                <w:sz w:val="22"/>
              </w:rPr>
              <w:t>Perron</w:t>
            </w:r>
            <w:proofErr w:type="spellEnd"/>
            <w:r w:rsidRPr="009508EB">
              <w:rPr>
                <w:sz w:val="22"/>
              </w:rPr>
              <w:t xml:space="preserve"> Statistics</w:t>
            </w:r>
          </w:p>
        </w:tc>
        <w:tc>
          <w:tcPr>
            <w:tcW w:w="1182" w:type="dxa"/>
            <w:vMerge w:val="restart"/>
          </w:tcPr>
          <w:p w:rsidR="00B105E8" w:rsidRPr="009508EB" w:rsidRDefault="00B105E8" w:rsidP="00B105E8">
            <w:pPr>
              <w:pStyle w:val="NoSpacing"/>
              <w:spacing w:line="480" w:lineRule="auto"/>
              <w:jc w:val="center"/>
              <w:rPr>
                <w:sz w:val="22"/>
              </w:rPr>
            </w:pPr>
            <w:r w:rsidRPr="009508EB">
              <w:rPr>
                <w:sz w:val="22"/>
              </w:rPr>
              <w:t xml:space="preserve">Order of </w:t>
            </w:r>
            <w:r w:rsidRPr="009508EB">
              <w:rPr>
                <w:sz w:val="22"/>
              </w:rPr>
              <w:lastRenderedPageBreak/>
              <w:t>Integration</w:t>
            </w:r>
          </w:p>
        </w:tc>
      </w:tr>
      <w:tr w:rsidR="00870B69" w:rsidRPr="009508EB" w:rsidTr="00744E3C">
        <w:tc>
          <w:tcPr>
            <w:tcW w:w="918" w:type="dxa"/>
          </w:tcPr>
          <w:p w:rsidR="00B105E8" w:rsidRPr="009508EB" w:rsidRDefault="00B105E8" w:rsidP="002E0D33">
            <w:pPr>
              <w:pStyle w:val="NoSpacing"/>
              <w:ind w:left="-90" w:right="-108"/>
              <w:jc w:val="center"/>
              <w:rPr>
                <w:sz w:val="22"/>
              </w:rPr>
            </w:pPr>
            <w:r w:rsidRPr="009508EB">
              <w:rPr>
                <w:sz w:val="22"/>
              </w:rPr>
              <w:t>Variables</w:t>
            </w:r>
          </w:p>
        </w:tc>
        <w:tc>
          <w:tcPr>
            <w:tcW w:w="967" w:type="dxa"/>
          </w:tcPr>
          <w:p w:rsidR="00B105E8" w:rsidRPr="009508EB" w:rsidRDefault="00B105E8" w:rsidP="009508EB">
            <w:pPr>
              <w:pStyle w:val="NoSpacing"/>
              <w:jc w:val="center"/>
              <w:rPr>
                <w:sz w:val="22"/>
              </w:rPr>
            </w:pPr>
            <w:r w:rsidRPr="009508EB">
              <w:rPr>
                <w:sz w:val="22"/>
              </w:rPr>
              <w:t>Levels</w:t>
            </w:r>
          </w:p>
        </w:tc>
        <w:tc>
          <w:tcPr>
            <w:tcW w:w="925" w:type="dxa"/>
          </w:tcPr>
          <w:p w:rsidR="00B105E8" w:rsidRPr="009508EB" w:rsidRDefault="00B105E8" w:rsidP="009508EB">
            <w:pPr>
              <w:pStyle w:val="NoSpacing"/>
              <w:jc w:val="center"/>
              <w:rPr>
                <w:sz w:val="22"/>
              </w:rPr>
            </w:pPr>
            <w:r w:rsidRPr="009508EB">
              <w:rPr>
                <w:sz w:val="22"/>
              </w:rPr>
              <w:t>1st Diff</w:t>
            </w:r>
          </w:p>
        </w:tc>
        <w:tc>
          <w:tcPr>
            <w:tcW w:w="898" w:type="dxa"/>
          </w:tcPr>
          <w:p w:rsidR="00B105E8" w:rsidRPr="009508EB" w:rsidRDefault="00B105E8" w:rsidP="009508EB">
            <w:pPr>
              <w:pStyle w:val="NoSpacing"/>
              <w:jc w:val="center"/>
              <w:rPr>
                <w:sz w:val="22"/>
              </w:rPr>
            </w:pPr>
            <w:r w:rsidRPr="009508EB">
              <w:rPr>
                <w:sz w:val="22"/>
              </w:rPr>
              <w:t xml:space="preserve">2nd </w:t>
            </w:r>
            <w:r w:rsidRPr="009508EB">
              <w:rPr>
                <w:sz w:val="22"/>
              </w:rPr>
              <w:lastRenderedPageBreak/>
              <w:t>Diff</w:t>
            </w:r>
          </w:p>
        </w:tc>
        <w:tc>
          <w:tcPr>
            <w:tcW w:w="999" w:type="dxa"/>
            <w:vMerge/>
          </w:tcPr>
          <w:p w:rsidR="00B105E8" w:rsidRPr="009508EB" w:rsidRDefault="00B105E8" w:rsidP="009508EB">
            <w:pPr>
              <w:pStyle w:val="NoSpacing"/>
              <w:jc w:val="center"/>
              <w:rPr>
                <w:sz w:val="22"/>
              </w:rPr>
            </w:pPr>
          </w:p>
        </w:tc>
        <w:tc>
          <w:tcPr>
            <w:tcW w:w="990" w:type="dxa"/>
          </w:tcPr>
          <w:p w:rsidR="00B105E8" w:rsidRPr="009508EB" w:rsidRDefault="00B105E8" w:rsidP="009508EB">
            <w:pPr>
              <w:pStyle w:val="NoSpacing"/>
              <w:jc w:val="center"/>
              <w:rPr>
                <w:sz w:val="22"/>
              </w:rPr>
            </w:pPr>
            <w:r w:rsidRPr="009508EB">
              <w:rPr>
                <w:sz w:val="22"/>
              </w:rPr>
              <w:t>Levels</w:t>
            </w:r>
          </w:p>
        </w:tc>
        <w:tc>
          <w:tcPr>
            <w:tcW w:w="981" w:type="dxa"/>
          </w:tcPr>
          <w:p w:rsidR="00B105E8" w:rsidRPr="009508EB" w:rsidRDefault="00B105E8" w:rsidP="009508EB">
            <w:pPr>
              <w:pStyle w:val="NoSpacing"/>
              <w:jc w:val="center"/>
              <w:rPr>
                <w:sz w:val="22"/>
              </w:rPr>
            </w:pPr>
            <w:r w:rsidRPr="009508EB">
              <w:rPr>
                <w:sz w:val="22"/>
              </w:rPr>
              <w:t>1st Diff</w:t>
            </w:r>
          </w:p>
        </w:tc>
        <w:tc>
          <w:tcPr>
            <w:tcW w:w="990" w:type="dxa"/>
          </w:tcPr>
          <w:p w:rsidR="00B105E8" w:rsidRPr="009508EB" w:rsidRDefault="00B105E8" w:rsidP="009508EB">
            <w:pPr>
              <w:pStyle w:val="NoSpacing"/>
              <w:jc w:val="center"/>
              <w:rPr>
                <w:sz w:val="22"/>
              </w:rPr>
            </w:pPr>
            <w:r w:rsidRPr="009508EB">
              <w:rPr>
                <w:sz w:val="22"/>
              </w:rPr>
              <w:t>2nd Diff</w:t>
            </w:r>
          </w:p>
        </w:tc>
        <w:tc>
          <w:tcPr>
            <w:tcW w:w="1182" w:type="dxa"/>
            <w:vMerge/>
          </w:tcPr>
          <w:p w:rsidR="00B105E8" w:rsidRPr="009508EB" w:rsidRDefault="00B105E8" w:rsidP="009508EB">
            <w:pPr>
              <w:pStyle w:val="NoSpacing"/>
              <w:jc w:val="center"/>
              <w:rPr>
                <w:sz w:val="22"/>
              </w:rPr>
            </w:pPr>
          </w:p>
        </w:tc>
      </w:tr>
      <w:tr w:rsidR="00174D09" w:rsidRPr="009508EB" w:rsidTr="00744E3C">
        <w:tc>
          <w:tcPr>
            <w:tcW w:w="918" w:type="dxa"/>
          </w:tcPr>
          <w:p w:rsidR="0054659E" w:rsidRPr="009508EB" w:rsidRDefault="00F65532" w:rsidP="00AE6DCF">
            <w:pPr>
              <w:pStyle w:val="NoSpacing"/>
              <w:spacing w:line="360" w:lineRule="auto"/>
              <w:jc w:val="both"/>
              <w:rPr>
                <w:sz w:val="22"/>
              </w:rPr>
            </w:pPr>
            <w:r w:rsidRPr="009508EB">
              <w:rPr>
                <w:sz w:val="22"/>
              </w:rPr>
              <w:lastRenderedPageBreak/>
              <w:t>P.I</w:t>
            </w:r>
          </w:p>
        </w:tc>
        <w:tc>
          <w:tcPr>
            <w:tcW w:w="967" w:type="dxa"/>
          </w:tcPr>
          <w:p w:rsidR="0054659E" w:rsidRPr="009508EB" w:rsidRDefault="009508EB" w:rsidP="00AE6DCF">
            <w:pPr>
              <w:pStyle w:val="NoSpacing"/>
              <w:spacing w:line="360" w:lineRule="auto"/>
              <w:ind w:left="-56" w:right="-74"/>
              <w:jc w:val="center"/>
              <w:rPr>
                <w:sz w:val="22"/>
              </w:rPr>
            </w:pPr>
            <w:r w:rsidRPr="009508EB">
              <w:rPr>
                <w:sz w:val="22"/>
              </w:rPr>
              <w:t>-3.2896</w:t>
            </w:r>
          </w:p>
          <w:p w:rsidR="009508EB" w:rsidRPr="009508EB" w:rsidRDefault="009508EB" w:rsidP="00AE6DCF">
            <w:pPr>
              <w:pStyle w:val="NoSpacing"/>
              <w:spacing w:line="360" w:lineRule="auto"/>
              <w:ind w:left="-56" w:right="-74"/>
              <w:jc w:val="center"/>
              <w:rPr>
                <w:sz w:val="22"/>
              </w:rPr>
            </w:pPr>
            <w:r w:rsidRPr="009508EB">
              <w:rPr>
                <w:sz w:val="22"/>
              </w:rPr>
              <w:t>(-3.5950)</w:t>
            </w:r>
          </w:p>
        </w:tc>
        <w:tc>
          <w:tcPr>
            <w:tcW w:w="925" w:type="dxa"/>
          </w:tcPr>
          <w:p w:rsidR="0054659E" w:rsidRDefault="00870B69" w:rsidP="00AE6DCF">
            <w:pPr>
              <w:pStyle w:val="NoSpacing"/>
              <w:spacing w:line="360" w:lineRule="auto"/>
              <w:ind w:left="-56" w:right="-74"/>
              <w:jc w:val="center"/>
              <w:rPr>
                <w:sz w:val="22"/>
              </w:rPr>
            </w:pPr>
            <w:r>
              <w:rPr>
                <w:sz w:val="22"/>
              </w:rPr>
              <w:t>-5.3483</w:t>
            </w:r>
          </w:p>
          <w:p w:rsidR="00870B69" w:rsidRPr="009508EB" w:rsidRDefault="00870B69" w:rsidP="00AE6DCF">
            <w:pPr>
              <w:pStyle w:val="NoSpacing"/>
              <w:spacing w:line="360" w:lineRule="auto"/>
              <w:ind w:left="-56" w:right="-74"/>
              <w:jc w:val="center"/>
              <w:rPr>
                <w:sz w:val="22"/>
              </w:rPr>
            </w:pPr>
            <w:r>
              <w:rPr>
                <w:sz w:val="22"/>
              </w:rPr>
              <w:t>(-3.6032)</w:t>
            </w:r>
          </w:p>
        </w:tc>
        <w:tc>
          <w:tcPr>
            <w:tcW w:w="898" w:type="dxa"/>
          </w:tcPr>
          <w:p w:rsidR="0054659E" w:rsidRPr="009508EB" w:rsidRDefault="00AB05FC" w:rsidP="00AE6DCF">
            <w:pPr>
              <w:pStyle w:val="NoSpacing"/>
              <w:spacing w:line="360" w:lineRule="auto"/>
              <w:ind w:left="-56" w:right="-74"/>
              <w:jc w:val="center"/>
              <w:rPr>
                <w:sz w:val="22"/>
              </w:rPr>
            </w:pPr>
            <w:r>
              <w:rPr>
                <w:sz w:val="22"/>
              </w:rPr>
              <w:t>-</w:t>
            </w:r>
          </w:p>
        </w:tc>
        <w:tc>
          <w:tcPr>
            <w:tcW w:w="999" w:type="dxa"/>
          </w:tcPr>
          <w:p w:rsidR="0054659E" w:rsidRPr="009508EB" w:rsidRDefault="00AB05FC" w:rsidP="00AE6DCF">
            <w:pPr>
              <w:pStyle w:val="NoSpacing"/>
              <w:spacing w:line="360" w:lineRule="auto"/>
              <w:ind w:left="-56" w:right="-74"/>
              <w:jc w:val="center"/>
              <w:rPr>
                <w:sz w:val="22"/>
              </w:rPr>
            </w:pPr>
            <w:r>
              <w:rPr>
                <w:sz w:val="22"/>
              </w:rPr>
              <w:t>I(1)</w:t>
            </w:r>
          </w:p>
        </w:tc>
        <w:tc>
          <w:tcPr>
            <w:tcW w:w="990" w:type="dxa"/>
          </w:tcPr>
          <w:p w:rsidR="0054659E" w:rsidRDefault="00AE6DCF" w:rsidP="00AE6DCF">
            <w:pPr>
              <w:pStyle w:val="NoSpacing"/>
              <w:spacing w:line="360" w:lineRule="auto"/>
              <w:ind w:left="-56" w:right="-74"/>
              <w:jc w:val="center"/>
              <w:rPr>
                <w:sz w:val="22"/>
              </w:rPr>
            </w:pPr>
            <w:r>
              <w:rPr>
                <w:sz w:val="22"/>
              </w:rPr>
              <w:t>-3.6257</w:t>
            </w:r>
          </w:p>
          <w:p w:rsidR="00AE6DCF" w:rsidRPr="009508EB" w:rsidRDefault="00AE6DCF" w:rsidP="00AE6DCF">
            <w:pPr>
              <w:pStyle w:val="NoSpacing"/>
              <w:spacing w:line="360" w:lineRule="auto"/>
              <w:ind w:left="-56" w:right="-74"/>
              <w:jc w:val="center"/>
              <w:rPr>
                <w:sz w:val="22"/>
              </w:rPr>
            </w:pPr>
            <w:r>
              <w:rPr>
                <w:sz w:val="22"/>
              </w:rPr>
              <w:t>(-3.5950)</w:t>
            </w:r>
          </w:p>
        </w:tc>
        <w:tc>
          <w:tcPr>
            <w:tcW w:w="981" w:type="dxa"/>
          </w:tcPr>
          <w:p w:rsidR="0054659E" w:rsidRPr="009508EB" w:rsidRDefault="002E0D33" w:rsidP="00AE6DCF">
            <w:pPr>
              <w:pStyle w:val="NoSpacing"/>
              <w:spacing w:line="360" w:lineRule="auto"/>
              <w:ind w:left="-56" w:right="-74"/>
              <w:jc w:val="center"/>
              <w:rPr>
                <w:sz w:val="22"/>
              </w:rPr>
            </w:pPr>
            <w:r>
              <w:rPr>
                <w:sz w:val="22"/>
              </w:rPr>
              <w:t>-</w:t>
            </w:r>
          </w:p>
        </w:tc>
        <w:tc>
          <w:tcPr>
            <w:tcW w:w="990" w:type="dxa"/>
          </w:tcPr>
          <w:p w:rsidR="0054659E" w:rsidRPr="009508EB" w:rsidRDefault="00BF75B6" w:rsidP="00AE6DCF">
            <w:pPr>
              <w:pStyle w:val="NoSpacing"/>
              <w:spacing w:line="360" w:lineRule="auto"/>
              <w:ind w:left="-56" w:right="-74"/>
              <w:jc w:val="center"/>
              <w:rPr>
                <w:sz w:val="22"/>
              </w:rPr>
            </w:pPr>
            <w:r>
              <w:rPr>
                <w:sz w:val="22"/>
              </w:rPr>
              <w:t>-</w:t>
            </w:r>
          </w:p>
        </w:tc>
        <w:tc>
          <w:tcPr>
            <w:tcW w:w="1182" w:type="dxa"/>
          </w:tcPr>
          <w:p w:rsidR="0054659E" w:rsidRPr="009508EB" w:rsidRDefault="00BF75B6" w:rsidP="00AE6DCF">
            <w:pPr>
              <w:pStyle w:val="NoSpacing"/>
              <w:spacing w:line="360" w:lineRule="auto"/>
              <w:ind w:left="-56" w:right="-74"/>
              <w:jc w:val="center"/>
              <w:rPr>
                <w:sz w:val="22"/>
              </w:rPr>
            </w:pPr>
            <w:r>
              <w:rPr>
                <w:sz w:val="22"/>
              </w:rPr>
              <w:t>I(0)</w:t>
            </w:r>
          </w:p>
        </w:tc>
      </w:tr>
      <w:tr w:rsidR="00BF75B6" w:rsidRPr="009508EB" w:rsidTr="00744E3C">
        <w:tc>
          <w:tcPr>
            <w:tcW w:w="918" w:type="dxa"/>
          </w:tcPr>
          <w:p w:rsidR="00BF75B6" w:rsidRPr="009508EB" w:rsidRDefault="00BF75B6" w:rsidP="00AE6DCF">
            <w:pPr>
              <w:pStyle w:val="NoSpacing"/>
              <w:spacing w:line="360" w:lineRule="auto"/>
              <w:jc w:val="both"/>
              <w:rPr>
                <w:sz w:val="22"/>
              </w:rPr>
            </w:pPr>
            <w:r w:rsidRPr="009508EB">
              <w:rPr>
                <w:sz w:val="22"/>
              </w:rPr>
              <w:t>MFC</w:t>
            </w:r>
          </w:p>
        </w:tc>
        <w:tc>
          <w:tcPr>
            <w:tcW w:w="967" w:type="dxa"/>
          </w:tcPr>
          <w:p w:rsidR="00BF75B6" w:rsidRDefault="00BF75B6" w:rsidP="00AE6DCF">
            <w:pPr>
              <w:pStyle w:val="NoSpacing"/>
              <w:spacing w:line="360" w:lineRule="auto"/>
              <w:ind w:left="-56" w:right="-74"/>
              <w:jc w:val="center"/>
              <w:rPr>
                <w:sz w:val="22"/>
              </w:rPr>
            </w:pPr>
            <w:r>
              <w:rPr>
                <w:sz w:val="22"/>
              </w:rPr>
              <w:t>4.0887</w:t>
            </w:r>
          </w:p>
          <w:p w:rsidR="00BF75B6" w:rsidRPr="009508EB" w:rsidRDefault="00BF75B6" w:rsidP="00AE6DCF">
            <w:pPr>
              <w:pStyle w:val="NoSpacing"/>
              <w:spacing w:line="360" w:lineRule="auto"/>
              <w:ind w:left="-56" w:right="-74"/>
              <w:jc w:val="center"/>
              <w:rPr>
                <w:sz w:val="22"/>
              </w:rPr>
            </w:pPr>
            <w:r>
              <w:rPr>
                <w:sz w:val="22"/>
              </w:rPr>
              <w:t>(-3.6584)</w:t>
            </w:r>
          </w:p>
        </w:tc>
        <w:tc>
          <w:tcPr>
            <w:tcW w:w="925" w:type="dxa"/>
          </w:tcPr>
          <w:p w:rsidR="00BF75B6" w:rsidRDefault="00BF75B6" w:rsidP="00AE6DCF">
            <w:pPr>
              <w:pStyle w:val="NoSpacing"/>
              <w:spacing w:line="360" w:lineRule="auto"/>
              <w:ind w:left="-56" w:right="-74"/>
              <w:jc w:val="center"/>
              <w:rPr>
                <w:sz w:val="22"/>
              </w:rPr>
            </w:pPr>
            <w:r>
              <w:rPr>
                <w:sz w:val="22"/>
              </w:rPr>
              <w:t>0.9650</w:t>
            </w:r>
          </w:p>
          <w:p w:rsidR="00BF75B6" w:rsidRPr="009508EB" w:rsidRDefault="00BF75B6" w:rsidP="00AE6DCF">
            <w:pPr>
              <w:pStyle w:val="NoSpacing"/>
              <w:spacing w:line="360" w:lineRule="auto"/>
              <w:ind w:left="-56" w:right="-74"/>
              <w:jc w:val="center"/>
              <w:rPr>
                <w:sz w:val="22"/>
              </w:rPr>
            </w:pPr>
            <w:r>
              <w:rPr>
                <w:sz w:val="22"/>
              </w:rPr>
              <w:t>(-3.6736)</w:t>
            </w:r>
          </w:p>
        </w:tc>
        <w:tc>
          <w:tcPr>
            <w:tcW w:w="898" w:type="dxa"/>
          </w:tcPr>
          <w:p w:rsidR="00BF75B6" w:rsidRDefault="00BF75B6" w:rsidP="00AE6DCF">
            <w:pPr>
              <w:pStyle w:val="NoSpacing"/>
              <w:spacing w:line="360" w:lineRule="auto"/>
              <w:ind w:left="-56" w:right="-74"/>
              <w:jc w:val="center"/>
              <w:rPr>
                <w:sz w:val="22"/>
              </w:rPr>
            </w:pPr>
            <w:r>
              <w:rPr>
                <w:sz w:val="22"/>
              </w:rPr>
              <w:t>4.8725</w:t>
            </w:r>
          </w:p>
          <w:p w:rsidR="00BF75B6" w:rsidRPr="009508EB" w:rsidRDefault="00BF75B6" w:rsidP="00AE6DCF">
            <w:pPr>
              <w:pStyle w:val="NoSpacing"/>
              <w:spacing w:line="360" w:lineRule="auto"/>
              <w:ind w:left="-56" w:right="-74"/>
              <w:jc w:val="center"/>
              <w:rPr>
                <w:sz w:val="22"/>
              </w:rPr>
            </w:pPr>
            <w:r>
              <w:rPr>
                <w:sz w:val="22"/>
              </w:rPr>
              <w:t>(-36736)</w:t>
            </w:r>
          </w:p>
        </w:tc>
        <w:tc>
          <w:tcPr>
            <w:tcW w:w="999" w:type="dxa"/>
          </w:tcPr>
          <w:p w:rsidR="00BF75B6" w:rsidRDefault="00BF75B6" w:rsidP="00AE6DCF">
            <w:pPr>
              <w:spacing w:line="360" w:lineRule="auto"/>
              <w:jc w:val="center"/>
            </w:pPr>
            <w:r w:rsidRPr="005A4612">
              <w:rPr>
                <w:sz w:val="22"/>
              </w:rPr>
              <w:t>I(</w:t>
            </w:r>
            <w:r>
              <w:rPr>
                <w:sz w:val="22"/>
              </w:rPr>
              <w:t>2</w:t>
            </w:r>
            <w:r w:rsidRPr="005A4612">
              <w:rPr>
                <w:sz w:val="22"/>
              </w:rPr>
              <w:t>)</w:t>
            </w:r>
          </w:p>
        </w:tc>
        <w:tc>
          <w:tcPr>
            <w:tcW w:w="990" w:type="dxa"/>
          </w:tcPr>
          <w:p w:rsidR="00BF75B6" w:rsidRDefault="00BF75B6" w:rsidP="00AE6DCF">
            <w:pPr>
              <w:pStyle w:val="NoSpacing"/>
              <w:spacing w:line="360" w:lineRule="auto"/>
              <w:ind w:left="-56" w:right="-74"/>
              <w:jc w:val="center"/>
              <w:rPr>
                <w:sz w:val="22"/>
              </w:rPr>
            </w:pPr>
            <w:r>
              <w:rPr>
                <w:sz w:val="22"/>
              </w:rPr>
              <w:t>4.0887</w:t>
            </w:r>
          </w:p>
          <w:p w:rsidR="00BF75B6" w:rsidRPr="009508EB" w:rsidRDefault="00BF75B6" w:rsidP="00AE6DCF">
            <w:pPr>
              <w:pStyle w:val="NoSpacing"/>
              <w:spacing w:line="360" w:lineRule="auto"/>
              <w:ind w:left="-56" w:right="-74"/>
              <w:jc w:val="center"/>
              <w:rPr>
                <w:sz w:val="22"/>
              </w:rPr>
            </w:pPr>
            <w:r>
              <w:rPr>
                <w:sz w:val="22"/>
              </w:rPr>
              <w:t>(-3.6584)</w:t>
            </w:r>
          </w:p>
        </w:tc>
        <w:tc>
          <w:tcPr>
            <w:tcW w:w="981" w:type="dxa"/>
          </w:tcPr>
          <w:p w:rsidR="00BF75B6" w:rsidRDefault="00BF75B6" w:rsidP="00AE6DCF">
            <w:pPr>
              <w:pStyle w:val="NoSpacing"/>
              <w:spacing w:line="360" w:lineRule="auto"/>
              <w:ind w:left="-56" w:right="-74"/>
              <w:jc w:val="center"/>
              <w:rPr>
                <w:sz w:val="22"/>
              </w:rPr>
            </w:pPr>
            <w:r>
              <w:rPr>
                <w:sz w:val="22"/>
              </w:rPr>
              <w:t>-5.8103</w:t>
            </w:r>
          </w:p>
          <w:p w:rsidR="00BF75B6" w:rsidRPr="009508EB" w:rsidRDefault="00BF75B6" w:rsidP="00AE6DCF">
            <w:pPr>
              <w:pStyle w:val="NoSpacing"/>
              <w:spacing w:line="360" w:lineRule="auto"/>
              <w:ind w:left="-56" w:right="-74"/>
              <w:jc w:val="center"/>
              <w:rPr>
                <w:sz w:val="22"/>
              </w:rPr>
            </w:pPr>
            <w:r>
              <w:rPr>
                <w:sz w:val="22"/>
              </w:rPr>
              <w:t>(-3.6032)</w:t>
            </w:r>
          </w:p>
        </w:tc>
        <w:tc>
          <w:tcPr>
            <w:tcW w:w="990" w:type="dxa"/>
          </w:tcPr>
          <w:p w:rsidR="00BF75B6" w:rsidRPr="009508EB" w:rsidRDefault="00BF75B6" w:rsidP="00AE6DCF">
            <w:pPr>
              <w:pStyle w:val="NoSpacing"/>
              <w:spacing w:line="360" w:lineRule="auto"/>
              <w:ind w:left="-56" w:right="-74"/>
              <w:jc w:val="center"/>
              <w:rPr>
                <w:sz w:val="22"/>
              </w:rPr>
            </w:pPr>
            <w:r>
              <w:rPr>
                <w:sz w:val="22"/>
              </w:rPr>
              <w:t>-</w:t>
            </w:r>
          </w:p>
        </w:tc>
        <w:tc>
          <w:tcPr>
            <w:tcW w:w="1182" w:type="dxa"/>
          </w:tcPr>
          <w:p w:rsidR="00BF75B6" w:rsidRDefault="00BF75B6" w:rsidP="00BF75B6">
            <w:pPr>
              <w:jc w:val="center"/>
            </w:pPr>
            <w:r w:rsidRPr="005E2D4A">
              <w:rPr>
                <w:sz w:val="22"/>
              </w:rPr>
              <w:t>I(</w:t>
            </w:r>
            <w:r>
              <w:rPr>
                <w:sz w:val="22"/>
              </w:rPr>
              <w:t>1</w:t>
            </w:r>
            <w:r w:rsidRPr="005E2D4A">
              <w:rPr>
                <w:sz w:val="22"/>
              </w:rPr>
              <w:t>)</w:t>
            </w:r>
          </w:p>
        </w:tc>
      </w:tr>
      <w:tr w:rsidR="00BF75B6" w:rsidRPr="009508EB" w:rsidTr="00744E3C">
        <w:tc>
          <w:tcPr>
            <w:tcW w:w="918" w:type="dxa"/>
          </w:tcPr>
          <w:p w:rsidR="00BF75B6" w:rsidRPr="009508EB" w:rsidRDefault="00BF75B6" w:rsidP="00AE6DCF">
            <w:pPr>
              <w:pStyle w:val="NoSpacing"/>
              <w:spacing w:line="360" w:lineRule="auto"/>
              <w:jc w:val="both"/>
              <w:rPr>
                <w:sz w:val="22"/>
              </w:rPr>
            </w:pPr>
            <w:r w:rsidRPr="009508EB">
              <w:rPr>
                <w:sz w:val="22"/>
              </w:rPr>
              <w:t>INV</w:t>
            </w:r>
          </w:p>
        </w:tc>
        <w:tc>
          <w:tcPr>
            <w:tcW w:w="967" w:type="dxa"/>
          </w:tcPr>
          <w:p w:rsidR="00BF75B6" w:rsidRDefault="00BF75B6" w:rsidP="00AE6DCF">
            <w:pPr>
              <w:pStyle w:val="NoSpacing"/>
              <w:spacing w:line="360" w:lineRule="auto"/>
              <w:ind w:left="-56" w:right="-74"/>
              <w:jc w:val="center"/>
              <w:rPr>
                <w:sz w:val="22"/>
              </w:rPr>
            </w:pPr>
            <w:r>
              <w:rPr>
                <w:sz w:val="22"/>
              </w:rPr>
              <w:t>-1.6082</w:t>
            </w:r>
          </w:p>
          <w:p w:rsidR="00BF75B6" w:rsidRPr="009508EB" w:rsidRDefault="00BF75B6" w:rsidP="00AE6DCF">
            <w:pPr>
              <w:pStyle w:val="NoSpacing"/>
              <w:spacing w:line="360" w:lineRule="auto"/>
              <w:ind w:left="-56" w:right="-74"/>
              <w:jc w:val="center"/>
              <w:rPr>
                <w:sz w:val="22"/>
              </w:rPr>
            </w:pPr>
            <w:r>
              <w:rPr>
                <w:sz w:val="22"/>
              </w:rPr>
              <w:t>(-3.5950)</w:t>
            </w:r>
          </w:p>
        </w:tc>
        <w:tc>
          <w:tcPr>
            <w:tcW w:w="925" w:type="dxa"/>
          </w:tcPr>
          <w:p w:rsidR="00BF75B6" w:rsidRDefault="00BF75B6" w:rsidP="00AE6DCF">
            <w:pPr>
              <w:pStyle w:val="NoSpacing"/>
              <w:spacing w:line="360" w:lineRule="auto"/>
              <w:ind w:left="-56" w:right="-74"/>
              <w:jc w:val="center"/>
              <w:rPr>
                <w:sz w:val="22"/>
              </w:rPr>
            </w:pPr>
            <w:r>
              <w:rPr>
                <w:sz w:val="22"/>
              </w:rPr>
              <w:t>-3.8248</w:t>
            </w:r>
          </w:p>
          <w:p w:rsidR="00BF75B6" w:rsidRPr="009508EB" w:rsidRDefault="00BF75B6" w:rsidP="00AE6DCF">
            <w:pPr>
              <w:pStyle w:val="NoSpacing"/>
              <w:spacing w:line="360" w:lineRule="auto"/>
              <w:ind w:left="-56" w:right="-74"/>
              <w:jc w:val="center"/>
              <w:rPr>
                <w:sz w:val="22"/>
              </w:rPr>
            </w:pPr>
            <w:r>
              <w:rPr>
                <w:sz w:val="22"/>
              </w:rPr>
              <w:t>(-3.6032)</w:t>
            </w:r>
          </w:p>
        </w:tc>
        <w:tc>
          <w:tcPr>
            <w:tcW w:w="898" w:type="dxa"/>
          </w:tcPr>
          <w:p w:rsidR="00BF75B6" w:rsidRPr="009508EB" w:rsidRDefault="00BF75B6" w:rsidP="00AE6DCF">
            <w:pPr>
              <w:pStyle w:val="NoSpacing"/>
              <w:spacing w:line="360" w:lineRule="auto"/>
              <w:ind w:left="-56" w:right="-74"/>
              <w:jc w:val="center"/>
              <w:rPr>
                <w:sz w:val="22"/>
              </w:rPr>
            </w:pPr>
            <w:r>
              <w:rPr>
                <w:sz w:val="22"/>
              </w:rPr>
              <w:t>-</w:t>
            </w:r>
          </w:p>
        </w:tc>
        <w:tc>
          <w:tcPr>
            <w:tcW w:w="999" w:type="dxa"/>
          </w:tcPr>
          <w:p w:rsidR="00BF75B6" w:rsidRDefault="00BF75B6" w:rsidP="00AE6DCF">
            <w:pPr>
              <w:spacing w:line="360" w:lineRule="auto"/>
              <w:jc w:val="center"/>
            </w:pPr>
            <w:r w:rsidRPr="005A4612">
              <w:rPr>
                <w:sz w:val="22"/>
              </w:rPr>
              <w:t>I(1)</w:t>
            </w:r>
          </w:p>
        </w:tc>
        <w:tc>
          <w:tcPr>
            <w:tcW w:w="990" w:type="dxa"/>
          </w:tcPr>
          <w:p w:rsidR="00BF75B6" w:rsidRDefault="00BF75B6" w:rsidP="00AE6DCF">
            <w:pPr>
              <w:pStyle w:val="NoSpacing"/>
              <w:spacing w:line="360" w:lineRule="auto"/>
              <w:ind w:left="-56" w:right="-74"/>
              <w:jc w:val="center"/>
              <w:rPr>
                <w:sz w:val="22"/>
              </w:rPr>
            </w:pPr>
            <w:r>
              <w:rPr>
                <w:sz w:val="22"/>
              </w:rPr>
              <w:t>-1.6082</w:t>
            </w:r>
          </w:p>
          <w:p w:rsidR="00BF75B6" w:rsidRPr="009508EB" w:rsidRDefault="00BF75B6" w:rsidP="00AE6DCF">
            <w:pPr>
              <w:pStyle w:val="NoSpacing"/>
              <w:spacing w:line="360" w:lineRule="auto"/>
              <w:ind w:left="-56" w:right="-74"/>
              <w:jc w:val="center"/>
              <w:rPr>
                <w:sz w:val="22"/>
              </w:rPr>
            </w:pPr>
            <w:r>
              <w:rPr>
                <w:sz w:val="22"/>
              </w:rPr>
              <w:t>(-3.5950)</w:t>
            </w:r>
          </w:p>
        </w:tc>
        <w:tc>
          <w:tcPr>
            <w:tcW w:w="981" w:type="dxa"/>
          </w:tcPr>
          <w:p w:rsidR="00BF75B6" w:rsidRDefault="00BF75B6" w:rsidP="00AE6DCF">
            <w:pPr>
              <w:pStyle w:val="NoSpacing"/>
              <w:spacing w:line="360" w:lineRule="auto"/>
              <w:ind w:left="-56" w:right="-74"/>
              <w:jc w:val="center"/>
              <w:rPr>
                <w:sz w:val="22"/>
              </w:rPr>
            </w:pPr>
            <w:r>
              <w:rPr>
                <w:sz w:val="22"/>
              </w:rPr>
              <w:t>-3.7100</w:t>
            </w:r>
          </w:p>
          <w:p w:rsidR="00BF75B6" w:rsidRPr="009508EB" w:rsidRDefault="00BF75B6" w:rsidP="00CC38A8">
            <w:pPr>
              <w:pStyle w:val="NoSpacing"/>
              <w:spacing w:line="360" w:lineRule="auto"/>
              <w:ind w:left="-56" w:right="-74"/>
              <w:jc w:val="center"/>
              <w:rPr>
                <w:sz w:val="22"/>
              </w:rPr>
            </w:pPr>
            <w:r>
              <w:rPr>
                <w:sz w:val="22"/>
              </w:rPr>
              <w:t>(-3.6032)</w:t>
            </w:r>
          </w:p>
        </w:tc>
        <w:tc>
          <w:tcPr>
            <w:tcW w:w="990" w:type="dxa"/>
          </w:tcPr>
          <w:p w:rsidR="00BF75B6" w:rsidRPr="009508EB" w:rsidRDefault="00BF75B6" w:rsidP="00AE6DCF">
            <w:pPr>
              <w:pStyle w:val="NoSpacing"/>
              <w:spacing w:line="360" w:lineRule="auto"/>
              <w:ind w:left="-56" w:right="-74"/>
              <w:jc w:val="center"/>
              <w:rPr>
                <w:sz w:val="22"/>
              </w:rPr>
            </w:pPr>
            <w:r>
              <w:rPr>
                <w:sz w:val="22"/>
              </w:rPr>
              <w:t>-</w:t>
            </w:r>
          </w:p>
        </w:tc>
        <w:tc>
          <w:tcPr>
            <w:tcW w:w="1182" w:type="dxa"/>
          </w:tcPr>
          <w:p w:rsidR="00BF75B6" w:rsidRDefault="00BF75B6" w:rsidP="00BF75B6">
            <w:pPr>
              <w:jc w:val="center"/>
            </w:pPr>
            <w:r>
              <w:rPr>
                <w:sz w:val="22"/>
              </w:rPr>
              <w:t>I(1</w:t>
            </w:r>
            <w:r w:rsidRPr="005E2D4A">
              <w:rPr>
                <w:sz w:val="22"/>
              </w:rPr>
              <w:t>)</w:t>
            </w:r>
          </w:p>
        </w:tc>
      </w:tr>
      <w:tr w:rsidR="00BF75B6" w:rsidRPr="009508EB" w:rsidTr="00744E3C">
        <w:tc>
          <w:tcPr>
            <w:tcW w:w="918" w:type="dxa"/>
          </w:tcPr>
          <w:p w:rsidR="00BF75B6" w:rsidRPr="009508EB" w:rsidRDefault="00BF75B6" w:rsidP="00AE6DCF">
            <w:pPr>
              <w:pStyle w:val="NoSpacing"/>
              <w:spacing w:line="360" w:lineRule="auto"/>
              <w:jc w:val="both"/>
              <w:rPr>
                <w:sz w:val="22"/>
              </w:rPr>
            </w:pPr>
            <w:r w:rsidRPr="009508EB">
              <w:rPr>
                <w:sz w:val="22"/>
              </w:rPr>
              <w:t>NMFI</w:t>
            </w:r>
          </w:p>
        </w:tc>
        <w:tc>
          <w:tcPr>
            <w:tcW w:w="967" w:type="dxa"/>
          </w:tcPr>
          <w:p w:rsidR="00BF75B6" w:rsidRDefault="00BF75B6" w:rsidP="00AE6DCF">
            <w:pPr>
              <w:pStyle w:val="NoSpacing"/>
              <w:spacing w:line="360" w:lineRule="auto"/>
              <w:ind w:left="-56" w:right="-74"/>
              <w:jc w:val="center"/>
              <w:rPr>
                <w:sz w:val="22"/>
              </w:rPr>
            </w:pPr>
            <w:r>
              <w:rPr>
                <w:sz w:val="22"/>
              </w:rPr>
              <w:t>-3.7960</w:t>
            </w:r>
          </w:p>
          <w:p w:rsidR="00BF75B6" w:rsidRPr="009508EB" w:rsidRDefault="00BF75B6" w:rsidP="00AE6DCF">
            <w:pPr>
              <w:pStyle w:val="NoSpacing"/>
              <w:spacing w:line="360" w:lineRule="auto"/>
              <w:ind w:left="-56" w:right="-74"/>
              <w:jc w:val="center"/>
              <w:rPr>
                <w:sz w:val="22"/>
              </w:rPr>
            </w:pPr>
            <w:r>
              <w:rPr>
                <w:sz w:val="22"/>
              </w:rPr>
              <w:t>(-3.6121)</w:t>
            </w:r>
          </w:p>
        </w:tc>
        <w:tc>
          <w:tcPr>
            <w:tcW w:w="925" w:type="dxa"/>
          </w:tcPr>
          <w:p w:rsidR="00BF75B6" w:rsidRPr="009508EB" w:rsidRDefault="00BF75B6" w:rsidP="00AE6DCF">
            <w:pPr>
              <w:pStyle w:val="NoSpacing"/>
              <w:spacing w:line="360" w:lineRule="auto"/>
              <w:ind w:left="-56" w:right="-74"/>
              <w:jc w:val="center"/>
              <w:rPr>
                <w:sz w:val="22"/>
              </w:rPr>
            </w:pPr>
            <w:r>
              <w:rPr>
                <w:sz w:val="22"/>
              </w:rPr>
              <w:t>-</w:t>
            </w:r>
          </w:p>
        </w:tc>
        <w:tc>
          <w:tcPr>
            <w:tcW w:w="898" w:type="dxa"/>
          </w:tcPr>
          <w:p w:rsidR="00BF75B6" w:rsidRPr="009508EB" w:rsidRDefault="00BF75B6" w:rsidP="00AE6DCF">
            <w:pPr>
              <w:pStyle w:val="NoSpacing"/>
              <w:spacing w:line="360" w:lineRule="auto"/>
              <w:ind w:left="-56" w:right="-74"/>
              <w:jc w:val="center"/>
              <w:rPr>
                <w:sz w:val="22"/>
              </w:rPr>
            </w:pPr>
            <w:r>
              <w:rPr>
                <w:sz w:val="22"/>
              </w:rPr>
              <w:t>-</w:t>
            </w:r>
          </w:p>
        </w:tc>
        <w:tc>
          <w:tcPr>
            <w:tcW w:w="999" w:type="dxa"/>
          </w:tcPr>
          <w:p w:rsidR="00BF75B6" w:rsidRDefault="00BF75B6" w:rsidP="00AE6DCF">
            <w:pPr>
              <w:spacing w:line="360" w:lineRule="auto"/>
              <w:jc w:val="center"/>
            </w:pPr>
            <w:r w:rsidRPr="005A4612">
              <w:rPr>
                <w:sz w:val="22"/>
              </w:rPr>
              <w:t>I(</w:t>
            </w:r>
            <w:r>
              <w:rPr>
                <w:sz w:val="22"/>
              </w:rPr>
              <w:t>0</w:t>
            </w:r>
            <w:r w:rsidRPr="005A4612">
              <w:rPr>
                <w:sz w:val="22"/>
              </w:rPr>
              <w:t>)</w:t>
            </w:r>
          </w:p>
        </w:tc>
        <w:tc>
          <w:tcPr>
            <w:tcW w:w="990" w:type="dxa"/>
          </w:tcPr>
          <w:p w:rsidR="00BF75B6" w:rsidRDefault="00BF75B6" w:rsidP="00AE6DCF">
            <w:pPr>
              <w:pStyle w:val="NoSpacing"/>
              <w:spacing w:line="360" w:lineRule="auto"/>
              <w:ind w:left="-56" w:right="-74"/>
              <w:jc w:val="center"/>
              <w:rPr>
                <w:sz w:val="22"/>
              </w:rPr>
            </w:pPr>
            <w:r>
              <w:rPr>
                <w:sz w:val="22"/>
              </w:rPr>
              <w:t>-2.8682</w:t>
            </w:r>
          </w:p>
          <w:p w:rsidR="00BF75B6" w:rsidRPr="009508EB" w:rsidRDefault="00BF75B6" w:rsidP="00AE6DCF">
            <w:pPr>
              <w:pStyle w:val="NoSpacing"/>
              <w:spacing w:line="360" w:lineRule="auto"/>
              <w:ind w:left="-56" w:right="-74"/>
              <w:jc w:val="center"/>
              <w:rPr>
                <w:sz w:val="22"/>
              </w:rPr>
            </w:pPr>
            <w:r>
              <w:rPr>
                <w:sz w:val="22"/>
              </w:rPr>
              <w:t>(-3.5950)</w:t>
            </w:r>
          </w:p>
        </w:tc>
        <w:tc>
          <w:tcPr>
            <w:tcW w:w="981" w:type="dxa"/>
          </w:tcPr>
          <w:p w:rsidR="00BF75B6" w:rsidRDefault="00BF75B6" w:rsidP="00CC38A8">
            <w:pPr>
              <w:pStyle w:val="NoSpacing"/>
              <w:spacing w:line="360" w:lineRule="auto"/>
              <w:ind w:left="-56" w:right="-74"/>
              <w:jc w:val="center"/>
              <w:rPr>
                <w:sz w:val="22"/>
              </w:rPr>
            </w:pPr>
            <w:r>
              <w:rPr>
                <w:sz w:val="22"/>
              </w:rPr>
              <w:t>-3.4472</w:t>
            </w:r>
          </w:p>
          <w:p w:rsidR="00BF75B6" w:rsidRPr="009508EB" w:rsidRDefault="00BF75B6" w:rsidP="00CC38A8">
            <w:pPr>
              <w:pStyle w:val="NoSpacing"/>
              <w:spacing w:line="360" w:lineRule="auto"/>
              <w:ind w:left="-56" w:right="-74"/>
              <w:jc w:val="center"/>
              <w:rPr>
                <w:sz w:val="22"/>
              </w:rPr>
            </w:pPr>
            <w:r>
              <w:rPr>
                <w:sz w:val="22"/>
              </w:rPr>
              <w:t>(-3.6032)</w:t>
            </w:r>
          </w:p>
        </w:tc>
        <w:tc>
          <w:tcPr>
            <w:tcW w:w="990" w:type="dxa"/>
          </w:tcPr>
          <w:p w:rsidR="00BF75B6" w:rsidRDefault="00BF75B6" w:rsidP="00AE6DCF">
            <w:pPr>
              <w:pStyle w:val="NoSpacing"/>
              <w:spacing w:line="360" w:lineRule="auto"/>
              <w:ind w:left="-56" w:right="-74"/>
              <w:jc w:val="center"/>
              <w:rPr>
                <w:sz w:val="22"/>
              </w:rPr>
            </w:pPr>
            <w:r>
              <w:rPr>
                <w:sz w:val="22"/>
              </w:rPr>
              <w:t>-17.8907</w:t>
            </w:r>
          </w:p>
          <w:p w:rsidR="00BF75B6" w:rsidRPr="009508EB" w:rsidRDefault="00BF75B6" w:rsidP="00AE6DCF">
            <w:pPr>
              <w:pStyle w:val="NoSpacing"/>
              <w:spacing w:line="360" w:lineRule="auto"/>
              <w:ind w:left="-56" w:right="-74"/>
              <w:jc w:val="center"/>
              <w:rPr>
                <w:sz w:val="22"/>
              </w:rPr>
            </w:pPr>
            <w:r>
              <w:rPr>
                <w:sz w:val="22"/>
              </w:rPr>
              <w:t>(-3.6121)</w:t>
            </w:r>
          </w:p>
        </w:tc>
        <w:tc>
          <w:tcPr>
            <w:tcW w:w="1182" w:type="dxa"/>
          </w:tcPr>
          <w:p w:rsidR="00BF75B6" w:rsidRDefault="00BF75B6" w:rsidP="00BF75B6">
            <w:pPr>
              <w:jc w:val="center"/>
            </w:pPr>
            <w:r>
              <w:rPr>
                <w:sz w:val="22"/>
              </w:rPr>
              <w:t>I(2</w:t>
            </w:r>
            <w:r w:rsidRPr="005E2D4A">
              <w:rPr>
                <w:sz w:val="22"/>
              </w:rPr>
              <w:t>)</w:t>
            </w:r>
          </w:p>
        </w:tc>
      </w:tr>
    </w:tbl>
    <w:p w:rsidR="00A975F9" w:rsidRPr="00A66BF0" w:rsidRDefault="0005502B" w:rsidP="0005502B">
      <w:pPr>
        <w:pStyle w:val="NoSpacing"/>
        <w:jc w:val="both"/>
        <w:rPr>
          <w:sz w:val="20"/>
          <w:szCs w:val="20"/>
        </w:rPr>
      </w:pPr>
      <w:r w:rsidRPr="00A66BF0">
        <w:rPr>
          <w:sz w:val="20"/>
          <w:szCs w:val="20"/>
        </w:rPr>
        <w:t>Source: Computed by the Authors using E-views 7</w:t>
      </w:r>
    </w:p>
    <w:p w:rsidR="0005502B" w:rsidRDefault="0005502B" w:rsidP="0005502B">
      <w:pPr>
        <w:pStyle w:val="NoSpacing"/>
        <w:jc w:val="both"/>
        <w:rPr>
          <w:sz w:val="20"/>
          <w:szCs w:val="20"/>
        </w:rPr>
      </w:pPr>
      <w:r w:rsidRPr="00A66BF0">
        <w:rPr>
          <w:sz w:val="20"/>
          <w:szCs w:val="20"/>
        </w:rPr>
        <w:t xml:space="preserve">Note: Numbers in parenthesis represent critical values at the 5% probability level. </w:t>
      </w:r>
      <w:r w:rsidR="00B962EE" w:rsidRPr="00A66BF0">
        <w:rPr>
          <w:sz w:val="20"/>
          <w:szCs w:val="20"/>
        </w:rPr>
        <w:t>Variables</w:t>
      </w:r>
      <w:r w:rsidRPr="00A66BF0">
        <w:rPr>
          <w:sz w:val="20"/>
          <w:szCs w:val="20"/>
        </w:rPr>
        <w:t xml:space="preserve"> are as defined in section above</w:t>
      </w:r>
      <w:r w:rsidR="005F687D" w:rsidRPr="00A66BF0">
        <w:rPr>
          <w:sz w:val="20"/>
          <w:szCs w:val="20"/>
        </w:rPr>
        <w:t>.</w:t>
      </w:r>
    </w:p>
    <w:p w:rsidR="00D52D95" w:rsidRDefault="00D52D95" w:rsidP="00E67EF1">
      <w:pPr>
        <w:pStyle w:val="NoSpacing"/>
        <w:spacing w:line="480" w:lineRule="auto"/>
        <w:jc w:val="both"/>
      </w:pPr>
    </w:p>
    <w:p w:rsidR="0061186E" w:rsidRDefault="00640EFD" w:rsidP="00E67EF1">
      <w:pPr>
        <w:pStyle w:val="NoSpacing"/>
        <w:spacing w:line="480" w:lineRule="auto"/>
        <w:jc w:val="both"/>
      </w:pPr>
      <w:r w:rsidRPr="0061186E">
        <w:t xml:space="preserve">The </w:t>
      </w:r>
      <w:r>
        <w:t xml:space="preserve">result of the unit root test is contained in table 1 above. </w:t>
      </w:r>
      <w:r w:rsidR="00AD27B1" w:rsidRPr="00DF294C">
        <w:t>After comparing the test-</w:t>
      </w:r>
      <w:r w:rsidRPr="00DF294C">
        <w:t xml:space="preserve">statistic </w:t>
      </w:r>
      <w:r w:rsidR="00AD27B1" w:rsidRPr="00DF294C">
        <w:t>value</w:t>
      </w:r>
      <w:r>
        <w:t xml:space="preserve"> (values outside parenthesis)</w:t>
      </w:r>
      <w:r w:rsidR="00AD27B1" w:rsidRPr="00DF294C">
        <w:t xml:space="preserve"> against the Mackinnon critical value</w:t>
      </w:r>
      <w:r>
        <w:t xml:space="preserve"> (values in parenthesis)</w:t>
      </w:r>
      <w:r w:rsidR="00AD27B1" w:rsidRPr="00DF294C">
        <w:t xml:space="preserve"> at 5% level of significance, it was </w:t>
      </w:r>
      <w:r w:rsidR="009B3FB7" w:rsidRPr="00DF294C">
        <w:t>observed</w:t>
      </w:r>
      <w:r w:rsidR="00AD27B1" w:rsidRPr="00DF294C">
        <w:t xml:space="preserve"> that most of the variables in the two test statistics employed that is ADF and PP were stationary </w:t>
      </w:r>
      <w:r w:rsidR="009B3FB7">
        <w:t>at levels, first difference and second difference respectively (see table 1</w:t>
      </w:r>
      <w:r w:rsidR="00AD27B1" w:rsidRPr="00DF294C">
        <w:t xml:space="preserve">).  The result of the ADF statistics shows that </w:t>
      </w:r>
      <w:r w:rsidR="00791E5E">
        <w:t>Poverty Index (PI) and Long Term Investment (INV) were found to be stationary at first difference, while Microfinance Loans and Advances (MFC) and Number of Microfinance Institutions (NMFI</w:t>
      </w:r>
      <w:r w:rsidR="002D4146">
        <w:t>) were stationary at second difference and levels respectively.</w:t>
      </w:r>
    </w:p>
    <w:p w:rsidR="00BF75B6" w:rsidRDefault="0078780F" w:rsidP="00E67EF1">
      <w:pPr>
        <w:spacing w:line="480" w:lineRule="auto"/>
        <w:ind w:firstLine="540"/>
        <w:contextualSpacing/>
        <w:jc w:val="both"/>
      </w:pPr>
      <w:r w:rsidRPr="00DF294C">
        <w:t xml:space="preserve">The result of the Phillip </w:t>
      </w:r>
      <w:proofErr w:type="spellStart"/>
      <w:r w:rsidRPr="00DF294C">
        <w:t>Perron</w:t>
      </w:r>
      <w:proofErr w:type="spellEnd"/>
      <w:r w:rsidRPr="00DF294C">
        <w:t xml:space="preserve"> statistics</w:t>
      </w:r>
      <w:r>
        <w:t xml:space="preserve"> also</w:t>
      </w:r>
      <w:r w:rsidRPr="00DF294C">
        <w:t xml:space="preserve"> shows that all the variables tested were integrated of the order </w:t>
      </w:r>
      <w:r>
        <w:t xml:space="preserve">zero </w:t>
      </w:r>
      <w:proofErr w:type="gramStart"/>
      <w:r w:rsidRPr="0078780F">
        <w:rPr>
          <w:i/>
        </w:rPr>
        <w:t>I</w:t>
      </w:r>
      <w:r>
        <w:t>(</w:t>
      </w:r>
      <w:proofErr w:type="gramEnd"/>
      <w:r>
        <w:t>0)</w:t>
      </w:r>
      <w:r w:rsidRPr="00DF294C">
        <w:t xml:space="preserve">, </w:t>
      </w:r>
      <w:r>
        <w:t xml:space="preserve">first difference </w:t>
      </w:r>
      <w:r w:rsidRPr="0078780F">
        <w:rPr>
          <w:i/>
        </w:rPr>
        <w:t>I</w:t>
      </w:r>
      <w:r>
        <w:t xml:space="preserve">(1) and second difference </w:t>
      </w:r>
      <w:r w:rsidRPr="0078780F">
        <w:rPr>
          <w:i/>
        </w:rPr>
        <w:t>I</w:t>
      </w:r>
      <w:r>
        <w:t>(2)</w:t>
      </w:r>
      <w:r w:rsidRPr="00DF294C">
        <w:t xml:space="preserve">. Thus, since </w:t>
      </w:r>
      <w:proofErr w:type="spellStart"/>
      <w:r w:rsidRPr="00DF294C">
        <w:t>stationarity</w:t>
      </w:r>
      <w:proofErr w:type="spellEnd"/>
      <w:r w:rsidRPr="00DF294C">
        <w:t xml:space="preserve"> of the variables has been established, we </w:t>
      </w:r>
      <w:r>
        <w:t xml:space="preserve">proceed to determine the relationship </w:t>
      </w:r>
      <w:r w:rsidR="003438B4">
        <w:t>the activities of Microfinance institutions and its impact on poverty alleviation in Nigeria</w:t>
      </w:r>
      <w:r>
        <w:t>.</w:t>
      </w:r>
    </w:p>
    <w:p w:rsidR="00E552AC" w:rsidRDefault="00E552AC" w:rsidP="00AA769F">
      <w:pPr>
        <w:pStyle w:val="NoSpacing"/>
        <w:jc w:val="both"/>
      </w:pPr>
    </w:p>
    <w:p w:rsidR="00AA769F" w:rsidRDefault="00AA769F" w:rsidP="00AA769F">
      <w:pPr>
        <w:pStyle w:val="NoSpacing"/>
        <w:jc w:val="both"/>
      </w:pPr>
      <w:r w:rsidRPr="00C55484">
        <w:t>Table 2: Activities of Microfinance Institutions and Poverty Alleviation in</w:t>
      </w:r>
      <w:r w:rsidR="00C55484">
        <w:t xml:space="preserve"> </w:t>
      </w:r>
      <w:r w:rsidRPr="00C55484">
        <w:t>Nigeria</w:t>
      </w:r>
      <w:r w:rsidR="00D12AF4">
        <w:t>.</w:t>
      </w:r>
    </w:p>
    <w:p w:rsidR="009533FD" w:rsidRPr="00C55484" w:rsidRDefault="009533FD" w:rsidP="00AA769F">
      <w:pPr>
        <w:pStyle w:val="NoSpacing"/>
        <w:jc w:val="both"/>
      </w:pPr>
      <w:r>
        <w:tab/>
        <w:t xml:space="preserve">  Dependent variable: PI – Poverty Index</w:t>
      </w:r>
    </w:p>
    <w:tbl>
      <w:tblPr>
        <w:tblStyle w:val="TableGrid"/>
        <w:tblW w:w="0" w:type="auto"/>
        <w:tblLook w:val="04A0" w:firstRow="1" w:lastRow="0" w:firstColumn="1" w:lastColumn="0" w:noHBand="0" w:noVBand="1"/>
      </w:tblPr>
      <w:tblGrid>
        <w:gridCol w:w="3369"/>
        <w:gridCol w:w="4677"/>
      </w:tblGrid>
      <w:tr w:rsidR="00AA769F" w:rsidRPr="00B420DA" w:rsidTr="00D12AF4">
        <w:tc>
          <w:tcPr>
            <w:tcW w:w="3369" w:type="dxa"/>
          </w:tcPr>
          <w:p w:rsidR="00AA769F" w:rsidRPr="00B420DA" w:rsidRDefault="00AA769F" w:rsidP="00904D17">
            <w:pPr>
              <w:rPr>
                <w:b/>
              </w:rPr>
            </w:pPr>
            <w:r w:rsidRPr="00B420DA">
              <w:rPr>
                <w:b/>
              </w:rPr>
              <w:t>Dependent Variable</w:t>
            </w:r>
          </w:p>
        </w:tc>
        <w:tc>
          <w:tcPr>
            <w:tcW w:w="4677" w:type="dxa"/>
          </w:tcPr>
          <w:p w:rsidR="00AA769F" w:rsidRPr="00B420DA" w:rsidRDefault="00AA769F" w:rsidP="00904D17">
            <w:pPr>
              <w:rPr>
                <w:b/>
              </w:rPr>
            </w:pPr>
            <w:r w:rsidRPr="00B420DA">
              <w:rPr>
                <w:b/>
              </w:rPr>
              <w:t>Activities of microfinance Institutions</w:t>
            </w:r>
          </w:p>
        </w:tc>
      </w:tr>
      <w:tr w:rsidR="00AA769F" w:rsidRPr="00B420DA" w:rsidTr="00D12AF4">
        <w:tc>
          <w:tcPr>
            <w:tcW w:w="3369" w:type="dxa"/>
          </w:tcPr>
          <w:p w:rsidR="00AA769F" w:rsidRPr="00B420DA" w:rsidRDefault="00AA769F" w:rsidP="00904D17">
            <w:pPr>
              <w:rPr>
                <w:b/>
              </w:rPr>
            </w:pPr>
            <w:r>
              <w:rPr>
                <w:b/>
              </w:rPr>
              <w:t>Constant</w:t>
            </w:r>
          </w:p>
        </w:tc>
        <w:tc>
          <w:tcPr>
            <w:tcW w:w="4677" w:type="dxa"/>
          </w:tcPr>
          <w:p w:rsidR="00AA769F" w:rsidRDefault="00AA769F" w:rsidP="00904D17">
            <w:r>
              <w:t>12.6227**</w:t>
            </w:r>
          </w:p>
          <w:p w:rsidR="00AA769F" w:rsidRPr="00501839" w:rsidRDefault="00AA769F" w:rsidP="00904D17">
            <w:r>
              <w:t>(2.1433)</w:t>
            </w:r>
          </w:p>
        </w:tc>
      </w:tr>
      <w:tr w:rsidR="00AA769F" w:rsidRPr="00B420DA" w:rsidTr="00D12AF4">
        <w:tc>
          <w:tcPr>
            <w:tcW w:w="3369" w:type="dxa"/>
          </w:tcPr>
          <w:p w:rsidR="00AA769F" w:rsidRPr="00B420DA" w:rsidRDefault="00AA769F" w:rsidP="00904D17">
            <w:pPr>
              <w:rPr>
                <w:b/>
              </w:rPr>
            </w:pPr>
            <w:r>
              <w:rPr>
                <w:b/>
              </w:rPr>
              <w:t>MFC</w:t>
            </w:r>
          </w:p>
        </w:tc>
        <w:tc>
          <w:tcPr>
            <w:tcW w:w="4677" w:type="dxa"/>
          </w:tcPr>
          <w:p w:rsidR="00AA769F" w:rsidRPr="000B48FC" w:rsidRDefault="00AA769F" w:rsidP="00904D17">
            <w:r w:rsidRPr="000B48FC">
              <w:t>-9.49E-06</w:t>
            </w:r>
          </w:p>
          <w:p w:rsidR="00AA769F" w:rsidRPr="000B48FC" w:rsidRDefault="00AA769F" w:rsidP="00904D17">
            <w:r w:rsidRPr="000B48FC">
              <w:t xml:space="preserve"> (-0.2272)</w:t>
            </w:r>
          </w:p>
        </w:tc>
      </w:tr>
      <w:tr w:rsidR="00AA769F" w:rsidRPr="00B420DA" w:rsidTr="00D12AF4">
        <w:tc>
          <w:tcPr>
            <w:tcW w:w="3369" w:type="dxa"/>
          </w:tcPr>
          <w:p w:rsidR="00AA769F" w:rsidRPr="00B420DA" w:rsidRDefault="00AA769F" w:rsidP="00904D17">
            <w:pPr>
              <w:rPr>
                <w:b/>
              </w:rPr>
            </w:pPr>
            <w:r>
              <w:rPr>
                <w:b/>
              </w:rPr>
              <w:lastRenderedPageBreak/>
              <w:t>INV</w:t>
            </w:r>
          </w:p>
        </w:tc>
        <w:tc>
          <w:tcPr>
            <w:tcW w:w="4677" w:type="dxa"/>
          </w:tcPr>
          <w:p w:rsidR="00AA769F" w:rsidRPr="000B48FC" w:rsidRDefault="00AA769F" w:rsidP="00904D17">
            <w:r w:rsidRPr="000B48FC">
              <w:t>0.0025***</w:t>
            </w:r>
          </w:p>
          <w:p w:rsidR="00AA769F" w:rsidRPr="000B48FC" w:rsidRDefault="00AA769F" w:rsidP="00904D17">
            <w:r w:rsidRPr="000B48FC">
              <w:t>(3.1716)</w:t>
            </w:r>
          </w:p>
        </w:tc>
      </w:tr>
      <w:tr w:rsidR="00AA769F" w:rsidRPr="00B420DA" w:rsidTr="00D12AF4">
        <w:tc>
          <w:tcPr>
            <w:tcW w:w="3369" w:type="dxa"/>
          </w:tcPr>
          <w:p w:rsidR="00AA769F" w:rsidRPr="00B420DA" w:rsidRDefault="00AA769F" w:rsidP="00904D17">
            <w:pPr>
              <w:rPr>
                <w:b/>
              </w:rPr>
            </w:pPr>
            <w:r>
              <w:rPr>
                <w:b/>
              </w:rPr>
              <w:t>NMFI</w:t>
            </w:r>
          </w:p>
        </w:tc>
        <w:tc>
          <w:tcPr>
            <w:tcW w:w="4677" w:type="dxa"/>
          </w:tcPr>
          <w:p w:rsidR="00AA769F" w:rsidRPr="000B48FC" w:rsidRDefault="00AA769F" w:rsidP="00904D17">
            <w:r w:rsidRPr="000B48FC">
              <w:t>0.0482***</w:t>
            </w:r>
          </w:p>
          <w:p w:rsidR="00AA769F" w:rsidRPr="000B48FC" w:rsidRDefault="00AA769F" w:rsidP="00904D17">
            <w:r w:rsidRPr="000B48FC">
              <w:t>(7.2399)</w:t>
            </w:r>
          </w:p>
        </w:tc>
      </w:tr>
      <w:tr w:rsidR="00AA769F" w:rsidRPr="00B420DA" w:rsidTr="00D12AF4">
        <w:tc>
          <w:tcPr>
            <w:tcW w:w="3369" w:type="dxa"/>
          </w:tcPr>
          <w:p w:rsidR="000740F9" w:rsidRDefault="000740F9" w:rsidP="000740F9">
            <w:pPr>
              <w:rPr>
                <w:b/>
              </w:rPr>
            </w:pPr>
          </w:p>
          <w:p w:rsidR="00AA769F" w:rsidRPr="00B420DA" w:rsidRDefault="000740F9" w:rsidP="000740F9">
            <w:pPr>
              <w:rPr>
                <w:b/>
              </w:rPr>
            </w:pPr>
            <w:r>
              <w:rPr>
                <w:b/>
              </w:rPr>
              <w:t xml:space="preserve"> R̅</w:t>
            </w:r>
            <w:r w:rsidRPr="00564A67">
              <w:rPr>
                <w:b/>
                <w:vertAlign w:val="superscript"/>
              </w:rPr>
              <w:t>2</w:t>
            </w:r>
            <w:r>
              <w:rPr>
                <w:b/>
              </w:rPr>
              <w:t xml:space="preserve"> (Adjusted R-Square)</w:t>
            </w:r>
          </w:p>
        </w:tc>
        <w:tc>
          <w:tcPr>
            <w:tcW w:w="4677" w:type="dxa"/>
          </w:tcPr>
          <w:p w:rsidR="000740F9" w:rsidRDefault="000740F9" w:rsidP="00904D17"/>
          <w:p w:rsidR="00AA769F" w:rsidRPr="008368C1" w:rsidRDefault="000740F9" w:rsidP="000740F9">
            <w:r>
              <w:t>0.7162</w:t>
            </w:r>
          </w:p>
        </w:tc>
      </w:tr>
      <w:tr w:rsidR="00AA769F" w:rsidRPr="00B420DA" w:rsidTr="00D12AF4">
        <w:tc>
          <w:tcPr>
            <w:tcW w:w="3369" w:type="dxa"/>
          </w:tcPr>
          <w:p w:rsidR="00AA769F" w:rsidRPr="00B420DA" w:rsidRDefault="00AA769F" w:rsidP="00904D17">
            <w:pPr>
              <w:rPr>
                <w:b/>
              </w:rPr>
            </w:pPr>
            <w:r>
              <w:rPr>
                <w:b/>
              </w:rPr>
              <w:t>F-Statistic</w:t>
            </w:r>
          </w:p>
        </w:tc>
        <w:tc>
          <w:tcPr>
            <w:tcW w:w="4677" w:type="dxa"/>
          </w:tcPr>
          <w:p w:rsidR="00AA769F" w:rsidRPr="008368C1" w:rsidRDefault="00AA769F" w:rsidP="00904D17">
            <w:r>
              <w:t>22.8725***</w:t>
            </w:r>
          </w:p>
        </w:tc>
      </w:tr>
      <w:tr w:rsidR="00AA769F" w:rsidRPr="00B420DA" w:rsidTr="00D12AF4">
        <w:tc>
          <w:tcPr>
            <w:tcW w:w="3369" w:type="dxa"/>
          </w:tcPr>
          <w:p w:rsidR="00AA769F" w:rsidRPr="00B420DA" w:rsidRDefault="00AA769F" w:rsidP="00904D17">
            <w:pPr>
              <w:rPr>
                <w:b/>
              </w:rPr>
            </w:pPr>
            <w:proofErr w:type="spellStart"/>
            <w:r>
              <w:rPr>
                <w:b/>
              </w:rPr>
              <w:t>Prob</w:t>
            </w:r>
            <w:proofErr w:type="spellEnd"/>
            <w:r>
              <w:rPr>
                <w:b/>
              </w:rPr>
              <w:t>(F-statistic)</w:t>
            </w:r>
          </w:p>
        </w:tc>
        <w:tc>
          <w:tcPr>
            <w:tcW w:w="4677" w:type="dxa"/>
          </w:tcPr>
          <w:p w:rsidR="00AA769F" w:rsidRPr="008368C1" w:rsidRDefault="00AA769F" w:rsidP="00904D17">
            <w:r>
              <w:t>0.0000</w:t>
            </w:r>
          </w:p>
        </w:tc>
      </w:tr>
    </w:tbl>
    <w:p w:rsidR="00AA769F" w:rsidRPr="00501839" w:rsidRDefault="00AA769F" w:rsidP="00AA769F">
      <w:pPr>
        <w:rPr>
          <w:sz w:val="20"/>
        </w:rPr>
      </w:pPr>
      <w:r w:rsidRPr="00501839">
        <w:rPr>
          <w:b/>
        </w:rPr>
        <w:t>Note:</w:t>
      </w:r>
      <w:r w:rsidRPr="00501839">
        <w:rPr>
          <w:b/>
          <w:sz w:val="20"/>
        </w:rPr>
        <w:t xml:space="preserve"> (1) </w:t>
      </w:r>
      <w:r w:rsidRPr="00501839">
        <w:rPr>
          <w:sz w:val="20"/>
        </w:rPr>
        <w:t>Asterisks *, **, and *** denotes 10%, 5% and 1% significant levels, respectively.</w:t>
      </w:r>
    </w:p>
    <w:p w:rsidR="00AA769F" w:rsidRDefault="00AA769F" w:rsidP="00AA769F">
      <w:pPr>
        <w:rPr>
          <w:sz w:val="20"/>
        </w:rPr>
      </w:pPr>
      <w:r>
        <w:rPr>
          <w:sz w:val="20"/>
        </w:rPr>
        <w:t xml:space="preserve">            </w:t>
      </w:r>
      <w:r w:rsidRPr="00501839">
        <w:rPr>
          <w:sz w:val="20"/>
        </w:rPr>
        <w:t>(2) Variables are as defined in equation 2.</w:t>
      </w:r>
    </w:p>
    <w:p w:rsidR="00AA769F" w:rsidRPr="00501839" w:rsidRDefault="00AA769F" w:rsidP="00AA769F">
      <w:pPr>
        <w:rPr>
          <w:sz w:val="20"/>
        </w:rPr>
      </w:pPr>
      <w:r>
        <w:rPr>
          <w:sz w:val="20"/>
        </w:rPr>
        <w:t xml:space="preserve">            (3) </w:t>
      </w:r>
      <w:r w:rsidRPr="00CA4B29">
        <w:rPr>
          <w:sz w:val="20"/>
        </w:rPr>
        <w:t xml:space="preserve">Values </w:t>
      </w:r>
      <w:r>
        <w:rPr>
          <w:sz w:val="20"/>
        </w:rPr>
        <w:t>in parenthesis are the t-statistics</w:t>
      </w:r>
      <w:r w:rsidRPr="00CA4B29">
        <w:rPr>
          <w:sz w:val="20"/>
        </w:rPr>
        <w:t>.</w:t>
      </w:r>
    </w:p>
    <w:p w:rsidR="000678AD" w:rsidRDefault="000678AD" w:rsidP="00AE499A">
      <w:pPr>
        <w:pStyle w:val="NoSpacing"/>
        <w:spacing w:line="480" w:lineRule="auto"/>
        <w:jc w:val="both"/>
        <w:rPr>
          <w:b/>
        </w:rPr>
      </w:pPr>
    </w:p>
    <w:p w:rsidR="000740F9" w:rsidRDefault="00E552AC" w:rsidP="000740F9">
      <w:pPr>
        <w:pStyle w:val="Default"/>
        <w:rPr>
          <w:rFonts w:ascii="Times New Roman" w:hAnsi="Times New Roman" w:cs="Times New Roman"/>
          <w:b/>
          <w:bCs/>
        </w:rPr>
      </w:pPr>
      <w:r w:rsidRPr="000740F9">
        <w:rPr>
          <w:rFonts w:ascii="Times New Roman" w:hAnsi="Times New Roman" w:cs="Times New Roman"/>
          <w:b/>
          <w:bCs/>
        </w:rPr>
        <w:t>REGRESSION ANALYSIS</w:t>
      </w:r>
    </w:p>
    <w:p w:rsidR="000740F9" w:rsidRPr="000740F9" w:rsidRDefault="000740F9" w:rsidP="000740F9">
      <w:pPr>
        <w:pStyle w:val="Default"/>
        <w:rPr>
          <w:rFonts w:ascii="Times New Roman" w:hAnsi="Times New Roman" w:cs="Times New Roman"/>
        </w:rPr>
      </w:pPr>
    </w:p>
    <w:p w:rsidR="00AE499A" w:rsidRDefault="000740F9" w:rsidP="000740F9">
      <w:pPr>
        <w:pStyle w:val="NoSpacing"/>
        <w:spacing w:line="480" w:lineRule="auto"/>
        <w:jc w:val="both"/>
      </w:pPr>
      <w:r>
        <w:t>Table 2</w:t>
      </w:r>
      <w:r w:rsidRPr="000740F9">
        <w:t xml:space="preserve"> shows the results of the OLS regression performed to estimate Equa</w:t>
      </w:r>
      <w:r>
        <w:t>tion 2. The</w:t>
      </w:r>
      <w:r w:rsidRPr="000740F9">
        <w:t xml:space="preserve"> F-value</w:t>
      </w:r>
      <w:r>
        <w:t xml:space="preserve"> (22.8725)</w:t>
      </w:r>
      <w:r w:rsidRPr="000740F9">
        <w:t xml:space="preserve"> indicates the model is significant at the 1 percent level and therefore has explanatory power. The adjusted R Square value of 0.71</w:t>
      </w:r>
      <w:r w:rsidR="007A1FF3">
        <w:t>6</w:t>
      </w:r>
      <w:r w:rsidRPr="000740F9">
        <w:t xml:space="preserve"> indicates</w:t>
      </w:r>
      <w:r w:rsidR="007A1FF3">
        <w:t xml:space="preserve"> that</w:t>
      </w:r>
      <w:r w:rsidRPr="000740F9">
        <w:t xml:space="preserve"> the model explains 71.</w:t>
      </w:r>
      <w:r w:rsidR="007A1FF3">
        <w:t>6</w:t>
      </w:r>
      <w:r w:rsidRPr="000740F9">
        <w:t xml:space="preserve"> percent of the variability in the dependent variable poverty.</w:t>
      </w:r>
      <w:r w:rsidR="007A1FF3">
        <w:t xml:space="preserve"> That is MFC, INV, and NMFI explains about 71.6% of the total variation in poverty index in Nigeria.</w:t>
      </w:r>
    </w:p>
    <w:p w:rsidR="00E67EF1" w:rsidRDefault="003C042F" w:rsidP="00BF4ECC">
      <w:pPr>
        <w:autoSpaceDE w:val="0"/>
        <w:autoSpaceDN w:val="0"/>
        <w:adjustRightInd w:val="0"/>
        <w:spacing w:line="480" w:lineRule="auto"/>
        <w:jc w:val="both"/>
      </w:pPr>
      <w:r w:rsidRPr="003C042F">
        <w:t>The results of the regression</w:t>
      </w:r>
      <w:r>
        <w:t xml:space="preserve"> analysis</w:t>
      </w:r>
      <w:r w:rsidRPr="003C042F">
        <w:t xml:space="preserve"> show</w:t>
      </w:r>
      <w:r>
        <w:t xml:space="preserve"> that</w:t>
      </w:r>
      <w:r w:rsidRPr="003C042F">
        <w:t xml:space="preserve"> the independent variable</w:t>
      </w:r>
      <w:r>
        <w:t>,</w:t>
      </w:r>
      <w:r w:rsidRPr="003C042F">
        <w:t xml:space="preserve"> microfinance</w:t>
      </w:r>
      <w:r>
        <w:t xml:space="preserve"> loans and advances (MFC) </w:t>
      </w:r>
      <w:r w:rsidRPr="003C042F">
        <w:t>is</w:t>
      </w:r>
      <w:r>
        <w:t xml:space="preserve"> not</w:t>
      </w:r>
      <w:r w:rsidRPr="003C042F">
        <w:t xml:space="preserve"> significant</w:t>
      </w:r>
      <w:r>
        <w:t xml:space="preserve">. Though not significant, </w:t>
      </w:r>
      <w:r w:rsidRPr="003C042F">
        <w:t>the coeffi</w:t>
      </w:r>
      <w:r>
        <w:t>cient has a negative value of -9</w:t>
      </w:r>
      <w:r w:rsidRPr="003C042F">
        <w:t>.</w:t>
      </w:r>
      <w:r>
        <w:t>4</w:t>
      </w:r>
      <w:r w:rsidRPr="003C042F">
        <w:t>9, confirming that microfinance</w:t>
      </w:r>
      <w:r>
        <w:t xml:space="preserve"> loans and advances</w:t>
      </w:r>
      <w:r w:rsidRPr="003C042F">
        <w:t xml:space="preserve"> has a </w:t>
      </w:r>
      <w:r w:rsidR="00181482">
        <w:t>posi</w:t>
      </w:r>
      <w:r w:rsidR="00EA5237" w:rsidRPr="003C042F">
        <w:t>tive</w:t>
      </w:r>
      <w:r w:rsidRPr="003C042F">
        <w:t xml:space="preserve"> impact on poverty </w:t>
      </w:r>
      <w:r>
        <w:t>alleviation</w:t>
      </w:r>
      <w:r w:rsidRPr="003C042F">
        <w:t>.</w:t>
      </w:r>
      <w:r w:rsidR="00D07B32">
        <w:t xml:space="preserve"> </w:t>
      </w:r>
      <w:r w:rsidR="002E1CA4">
        <w:t>A 1% increase in MFC will lead to -9.49% decreases in Poverty index (PI)</w:t>
      </w:r>
      <w:r w:rsidR="00BF4ECC">
        <w:t xml:space="preserve"> in Nigeria</w:t>
      </w:r>
      <w:r w:rsidR="002E1CA4">
        <w:rPr>
          <w:lang w:val="en-GB"/>
        </w:rPr>
        <w:t>. This result is</w:t>
      </w:r>
      <w:r w:rsidR="00636CD2">
        <w:rPr>
          <w:lang w:val="en-GB"/>
        </w:rPr>
        <w:t xml:space="preserve"> in</w:t>
      </w:r>
      <w:r w:rsidR="00636CD2" w:rsidRPr="005A7F13">
        <w:rPr>
          <w:lang w:val="en-GB"/>
        </w:rPr>
        <w:t xml:space="preserve"> </w:t>
      </w:r>
      <w:r w:rsidR="005A7F13" w:rsidRPr="005A7F13">
        <w:rPr>
          <w:lang w:val="en-GB"/>
        </w:rPr>
        <w:t>line</w:t>
      </w:r>
      <w:r w:rsidR="00636CD2">
        <w:rPr>
          <w:lang w:val="en-GB"/>
        </w:rPr>
        <w:t xml:space="preserve"> with the</w:t>
      </w:r>
      <w:r w:rsidR="00642EDC">
        <w:rPr>
          <w:lang w:val="en-GB"/>
        </w:rPr>
        <w:t xml:space="preserve"> works of </w:t>
      </w:r>
      <w:proofErr w:type="spellStart"/>
      <w:r w:rsidR="00642EDC">
        <w:rPr>
          <w:lang w:val="en-GB"/>
        </w:rPr>
        <w:t>Okpara</w:t>
      </w:r>
      <w:proofErr w:type="spellEnd"/>
      <w:r w:rsidR="00642EDC">
        <w:rPr>
          <w:lang w:val="en-GB"/>
        </w:rPr>
        <w:t xml:space="preserve"> (201</w:t>
      </w:r>
      <w:r w:rsidR="00D07B32">
        <w:rPr>
          <w:lang w:val="en-GB"/>
        </w:rPr>
        <w:t>0)</w:t>
      </w:r>
      <w:r w:rsidR="002B384A">
        <w:rPr>
          <w:lang w:val="en-GB"/>
        </w:rPr>
        <w:t xml:space="preserve"> </w:t>
      </w:r>
      <w:r w:rsidR="002B384A" w:rsidRPr="003C042F">
        <w:t>who concluded</w:t>
      </w:r>
      <w:r w:rsidR="002B384A">
        <w:t xml:space="preserve"> that</w:t>
      </w:r>
      <w:r w:rsidR="002B384A" w:rsidRPr="003C042F">
        <w:t xml:space="preserve"> poverty </w:t>
      </w:r>
      <w:r w:rsidR="00A93B90" w:rsidRPr="003C042F">
        <w:t>level in Nigeria has</w:t>
      </w:r>
      <w:r w:rsidR="002B384A" w:rsidRPr="003C042F">
        <w:t xml:space="preserve"> decreased as access to microfinance credit has increased.</w:t>
      </w:r>
    </w:p>
    <w:p w:rsidR="00E86843" w:rsidRDefault="00E86843" w:rsidP="00BF4ECC">
      <w:pPr>
        <w:autoSpaceDE w:val="0"/>
        <w:autoSpaceDN w:val="0"/>
        <w:adjustRightInd w:val="0"/>
        <w:spacing w:line="480" w:lineRule="auto"/>
        <w:jc w:val="both"/>
      </w:pPr>
    </w:p>
    <w:p w:rsidR="00D66104" w:rsidRDefault="00E86843" w:rsidP="00BF4ECC">
      <w:pPr>
        <w:autoSpaceDE w:val="0"/>
        <w:autoSpaceDN w:val="0"/>
        <w:adjustRightInd w:val="0"/>
        <w:spacing w:line="480" w:lineRule="auto"/>
        <w:jc w:val="both"/>
      </w:pPr>
      <w:r w:rsidRPr="00DF294C">
        <w:t xml:space="preserve">The coefficient of </w:t>
      </w:r>
      <w:r>
        <w:t>long term investment by Microfinance institutions (INV)</w:t>
      </w:r>
      <w:r w:rsidRPr="00DF294C">
        <w:t xml:space="preserve"> indicates a positive</w:t>
      </w:r>
      <w:r w:rsidR="009533FD">
        <w:t xml:space="preserve"> and</w:t>
      </w:r>
      <w:r w:rsidRPr="00DF294C">
        <w:t xml:space="preserve"> significant correlation with </w:t>
      </w:r>
      <w:r>
        <w:t>Poverty Index (PI)</w:t>
      </w:r>
      <w:r w:rsidR="004E61A9">
        <w:t xml:space="preserve"> at 1% level of significance</w:t>
      </w:r>
      <w:r w:rsidRPr="00DF294C">
        <w:t>.</w:t>
      </w:r>
      <w:r w:rsidR="004E61A9">
        <w:t xml:space="preserve"> That is, a 1% increase in investment by these institutions will lead to</w:t>
      </w:r>
      <w:r w:rsidR="00ED22F5">
        <w:t xml:space="preserve"> about 0.0025% increase in poverty.</w:t>
      </w:r>
      <w:r w:rsidRPr="00DF294C">
        <w:t xml:space="preserve"> It implies that as</w:t>
      </w:r>
      <w:r>
        <w:t xml:space="preserve"> Microfinance institutions</w:t>
      </w:r>
      <w:r w:rsidRPr="00DF294C">
        <w:t xml:space="preserve"> increases</w:t>
      </w:r>
      <w:r w:rsidR="00D66104">
        <w:t xml:space="preserve"> its</w:t>
      </w:r>
      <w:r>
        <w:t xml:space="preserve"> investment</w:t>
      </w:r>
      <w:r w:rsidRPr="00DF294C">
        <w:t xml:space="preserve">, </w:t>
      </w:r>
      <w:r>
        <w:t>the nation’s level of poverty</w:t>
      </w:r>
      <w:r w:rsidR="00181482">
        <w:t xml:space="preserve"> de</w:t>
      </w:r>
      <w:r w:rsidRPr="00DF294C">
        <w:t xml:space="preserve">creases. The result, however, </w:t>
      </w:r>
      <w:r>
        <w:t xml:space="preserve">does not </w:t>
      </w:r>
      <w:r w:rsidRPr="00DF294C">
        <w:t>conf</w:t>
      </w:r>
      <w:r w:rsidR="009E091B">
        <w:t>orm</w:t>
      </w:r>
      <w:r w:rsidRPr="00DF294C">
        <w:t xml:space="preserve"> </w:t>
      </w:r>
      <w:r w:rsidR="009E091B">
        <w:t>to</w:t>
      </w:r>
      <w:r w:rsidRPr="00DF294C">
        <w:t xml:space="preserve"> a priori expectation</w:t>
      </w:r>
      <w:r w:rsidR="009E091B">
        <w:t>.</w:t>
      </w:r>
      <w:r w:rsidRPr="00DF294C">
        <w:t xml:space="preserve"> </w:t>
      </w:r>
      <w:r w:rsidR="00D66104">
        <w:t>This implies that on the aggregate,</w:t>
      </w:r>
      <w:r w:rsidR="00D91915">
        <w:t xml:space="preserve"> </w:t>
      </w:r>
      <w:r w:rsidR="00181482">
        <w:t xml:space="preserve">if </w:t>
      </w:r>
      <w:r w:rsidR="00D91915">
        <w:t xml:space="preserve">the investment of these microfinance institutions are not </w:t>
      </w:r>
      <w:r w:rsidR="00D91915">
        <w:lastRenderedPageBreak/>
        <w:t>targeted to include the marginal poor that have been left out for long in economic participation which would have helped in ameliorating the suffering of these vulnerable group</w:t>
      </w:r>
      <w:r w:rsidR="00181482">
        <w:t>, its impact on poverty alleviation may not be realizable</w:t>
      </w:r>
      <w:r w:rsidR="00D91915">
        <w:t>.</w:t>
      </w:r>
      <w:r w:rsidR="00E362A1">
        <w:t xml:space="preserve"> On the other hand, this result could also mean that </w:t>
      </w:r>
      <w:r w:rsidR="00181482">
        <w:t xml:space="preserve">if </w:t>
      </w:r>
      <w:r w:rsidR="00E362A1">
        <w:t xml:space="preserve">the </w:t>
      </w:r>
      <w:proofErr w:type="spellStart"/>
      <w:r w:rsidR="00E362A1">
        <w:t>programmes</w:t>
      </w:r>
      <w:proofErr w:type="spellEnd"/>
      <w:r w:rsidR="00E362A1">
        <w:t xml:space="preserve"> (INV) of these </w:t>
      </w:r>
      <w:r w:rsidR="00181482">
        <w:t xml:space="preserve">microfinance </w:t>
      </w:r>
      <w:r w:rsidR="00E362A1">
        <w:t xml:space="preserve">institutions are high-jacked by </w:t>
      </w:r>
      <w:r w:rsidR="00F67F91">
        <w:t>the rich and mighty in the society thus, making it impossible for its target (objective) to be achieved.</w:t>
      </w:r>
    </w:p>
    <w:p w:rsidR="009533FD" w:rsidRDefault="009533FD" w:rsidP="00BF4ECC">
      <w:pPr>
        <w:autoSpaceDE w:val="0"/>
        <w:autoSpaceDN w:val="0"/>
        <w:adjustRightInd w:val="0"/>
        <w:spacing w:line="480" w:lineRule="auto"/>
        <w:jc w:val="both"/>
      </w:pPr>
    </w:p>
    <w:p w:rsidR="006B452A" w:rsidRDefault="009533FD" w:rsidP="00BF4ECC">
      <w:pPr>
        <w:autoSpaceDE w:val="0"/>
        <w:autoSpaceDN w:val="0"/>
        <w:adjustRightInd w:val="0"/>
        <w:spacing w:line="480" w:lineRule="auto"/>
        <w:jc w:val="both"/>
      </w:pPr>
      <w:r>
        <w:t xml:space="preserve">Finally, the coefficient of Number of </w:t>
      </w:r>
      <w:r w:rsidR="004E61A9">
        <w:t xml:space="preserve">Developed and Specialized </w:t>
      </w:r>
      <w:r>
        <w:t xml:space="preserve">Banks/Institutions (Microfinance Banks) </w:t>
      </w:r>
      <w:r w:rsidR="005E5308">
        <w:t>(</w:t>
      </w:r>
      <w:r>
        <w:t>NMFI</w:t>
      </w:r>
      <w:r w:rsidR="005E5308">
        <w:t>)</w:t>
      </w:r>
      <w:r>
        <w:t xml:space="preserve">, showed </w:t>
      </w:r>
      <w:r w:rsidR="005E5308">
        <w:t xml:space="preserve">a positive and significant relationship with poverty index. The result shows that a 1% increase in the number of microfinance institutions, will lead to </w:t>
      </w:r>
      <w:r w:rsidR="00181482">
        <w:t>de</w:t>
      </w:r>
      <w:r w:rsidR="005E5308">
        <w:t>crease in poverty level.</w:t>
      </w:r>
      <w:r w:rsidR="00EE70C7">
        <w:t xml:space="preserve"> This does not conform to a priori expectations.</w:t>
      </w:r>
      <w:r w:rsidR="007231D9">
        <w:t xml:space="preserve"> This result</w:t>
      </w:r>
      <w:r w:rsidR="00DD6C11">
        <w:t xml:space="preserve"> with a different notion</w:t>
      </w:r>
      <w:r w:rsidR="00F55182">
        <w:t xml:space="preserve"> is in line with</w:t>
      </w:r>
      <w:r w:rsidR="007231D9">
        <w:t xml:space="preserve"> the findings of Linn (2017) which suggests that </w:t>
      </w:r>
      <w:r w:rsidR="007231D9" w:rsidRPr="007231D9">
        <w:t>the number of microfinance institutions in a state is not a determinant of the poverty level unless it is put in relation to the population.</w:t>
      </w:r>
      <w:r w:rsidR="00DD6C11">
        <w:t xml:space="preserve"> </w:t>
      </w:r>
      <w:r w:rsidR="00E85A5B">
        <w:t>The result could be as a result of the locations of these institutions as a greater number of them are located in the cities, thus making it inaccessible by the vulnerable poor.</w:t>
      </w:r>
    </w:p>
    <w:p w:rsidR="00E552AC" w:rsidRDefault="00E552AC" w:rsidP="00BF4ECC">
      <w:pPr>
        <w:autoSpaceDE w:val="0"/>
        <w:autoSpaceDN w:val="0"/>
        <w:adjustRightInd w:val="0"/>
        <w:spacing w:line="480" w:lineRule="auto"/>
        <w:jc w:val="both"/>
        <w:rPr>
          <w:b/>
        </w:rPr>
      </w:pPr>
    </w:p>
    <w:p w:rsidR="006B452A" w:rsidRPr="004F22EC" w:rsidRDefault="004F22EC" w:rsidP="00BF4ECC">
      <w:pPr>
        <w:autoSpaceDE w:val="0"/>
        <w:autoSpaceDN w:val="0"/>
        <w:adjustRightInd w:val="0"/>
        <w:spacing w:line="480" w:lineRule="auto"/>
        <w:jc w:val="both"/>
        <w:rPr>
          <w:b/>
        </w:rPr>
      </w:pPr>
      <w:r>
        <w:rPr>
          <w:b/>
        </w:rPr>
        <w:t>CONCLUDING REMARKS AND POLICIES CHANCES</w:t>
      </w:r>
    </w:p>
    <w:p w:rsidR="006E4F37" w:rsidRDefault="003F56C4" w:rsidP="006E4F37">
      <w:pPr>
        <w:spacing w:line="480" w:lineRule="auto"/>
        <w:jc w:val="both"/>
      </w:pPr>
      <w:r>
        <w:t xml:space="preserve">The evidence in literature shows that microfinance services have made significant impact on the various efforts made to reduce poverty. The poor therefore are left with variety of opportunities to extricate themselves and their household from the poverty web. </w:t>
      </w:r>
      <w:proofErr w:type="spellStart"/>
      <w:r>
        <w:t>Zaman</w:t>
      </w:r>
      <w:proofErr w:type="spellEnd"/>
      <w:r>
        <w:t xml:space="preserve"> (2004) supported this view by concluding that microcredit scheme serves as intermediary link between the poor and the available financial services, be it from donor agencies, the government or the formal financial system.</w:t>
      </w:r>
      <w:r w:rsidR="006E4F37" w:rsidRPr="006E4F37">
        <w:t xml:space="preserve"> </w:t>
      </w:r>
      <w:r w:rsidR="006E4F37">
        <w:t xml:space="preserve">Microfinance leads to an improved resource allocation, it promotes markets, contributes to economic growth and development. Access to </w:t>
      </w:r>
      <w:r w:rsidR="006E4F37">
        <w:lastRenderedPageBreak/>
        <w:t xml:space="preserve">microfinance opens up households to wider range of choices rather than relying on the informal sources. This would lead to their active participation and also benefit from the growth and development opportunities. Microfinance is seen as a veritable tool to empower the vulnerable groups in the rural areas and even the urban poor such as women and youths who occupy the lower rung of the poverty ladder. Thus, making microfinance institutions available, accessible and trustworthy to patrons by down-playing the importance of collateral, </w:t>
      </w:r>
      <w:proofErr w:type="spellStart"/>
      <w:r w:rsidR="006E4F37">
        <w:t>conditionalities</w:t>
      </w:r>
      <w:proofErr w:type="spellEnd"/>
      <w:r w:rsidR="006E4F37">
        <w:t xml:space="preserve"> and inequalities can expressly translate into income earning capacity which would lead to an improved physical quality of life as well as sustainable rural development in Nigeria.</w:t>
      </w:r>
    </w:p>
    <w:p w:rsidR="006E4F37" w:rsidRDefault="006E4F37" w:rsidP="006E4F37">
      <w:pPr>
        <w:spacing w:line="480" w:lineRule="auto"/>
        <w:jc w:val="both"/>
      </w:pPr>
    </w:p>
    <w:p w:rsidR="003F56C4" w:rsidRDefault="003F56C4" w:rsidP="003F56C4">
      <w:pPr>
        <w:spacing w:line="480" w:lineRule="auto"/>
        <w:jc w:val="both"/>
      </w:pPr>
    </w:p>
    <w:p w:rsidR="003F56C4" w:rsidRDefault="003F56C4" w:rsidP="003F56C4">
      <w:pPr>
        <w:spacing w:line="480" w:lineRule="auto"/>
        <w:jc w:val="both"/>
      </w:pPr>
    </w:p>
    <w:p w:rsidR="003F56C4" w:rsidRDefault="003F56C4" w:rsidP="003F56C4">
      <w:pPr>
        <w:spacing w:line="480" w:lineRule="auto"/>
        <w:jc w:val="both"/>
      </w:pPr>
    </w:p>
    <w:p w:rsidR="00BB7C24" w:rsidRDefault="00BB7C24" w:rsidP="00BB7C24">
      <w:pPr>
        <w:pStyle w:val="NoSpacing"/>
        <w:spacing w:line="480" w:lineRule="auto"/>
        <w:jc w:val="center"/>
      </w:pPr>
      <w:r w:rsidRPr="00BB7C24">
        <w:rPr>
          <w:b/>
        </w:rPr>
        <w:t>REFERENCES</w:t>
      </w:r>
    </w:p>
    <w:p w:rsidR="00BB7C24" w:rsidRDefault="00BB7C24" w:rsidP="00BB7C24">
      <w:pPr>
        <w:pStyle w:val="NoSpacing"/>
        <w:ind w:left="720" w:hanging="720"/>
        <w:jc w:val="both"/>
      </w:pPr>
      <w:proofErr w:type="spellStart"/>
      <w:proofErr w:type="gramStart"/>
      <w:r>
        <w:t>Obisesan</w:t>
      </w:r>
      <w:proofErr w:type="spellEnd"/>
      <w:r>
        <w:t xml:space="preserve">, F. O. and </w:t>
      </w:r>
      <w:proofErr w:type="spellStart"/>
      <w:r>
        <w:t>Oyedele</w:t>
      </w:r>
      <w:proofErr w:type="spellEnd"/>
      <w:r>
        <w:t>, O. (2015).</w:t>
      </w:r>
      <w:proofErr w:type="gramEnd"/>
      <w:r>
        <w:t xml:space="preserve"> </w:t>
      </w:r>
      <w:proofErr w:type="gramStart"/>
      <w:r>
        <w:t>Assessment of Microfinance Institutions as Poverty Reduction Mechanism in Nigeria.</w:t>
      </w:r>
      <w:proofErr w:type="gramEnd"/>
      <w:r>
        <w:t xml:space="preserve"> </w:t>
      </w:r>
      <w:r>
        <w:rPr>
          <w:i/>
        </w:rPr>
        <w:t>Research Journal of Finance and Accounting</w:t>
      </w:r>
      <w:r>
        <w:t>, 6(2): 18 – 26.</w:t>
      </w:r>
    </w:p>
    <w:p w:rsidR="00460606" w:rsidRDefault="00460606" w:rsidP="00BB7C24">
      <w:pPr>
        <w:pStyle w:val="NoSpacing"/>
        <w:ind w:left="720" w:hanging="720"/>
        <w:jc w:val="both"/>
      </w:pPr>
    </w:p>
    <w:p w:rsidR="00460606" w:rsidRDefault="00460606" w:rsidP="00460606">
      <w:pPr>
        <w:tabs>
          <w:tab w:val="left" w:pos="90"/>
        </w:tabs>
        <w:ind w:left="720" w:hanging="720"/>
        <w:jc w:val="both"/>
      </w:pPr>
      <w:proofErr w:type="gramStart"/>
      <w:r w:rsidRPr="00BB7291">
        <w:t>Philips, P.C.B and Peron, P. (1988).</w:t>
      </w:r>
      <w:proofErr w:type="gramEnd"/>
      <w:r w:rsidRPr="00BB7291">
        <w:t xml:space="preserve"> </w:t>
      </w:r>
      <w:proofErr w:type="gramStart"/>
      <w:r w:rsidRPr="00BB7291">
        <w:t xml:space="preserve">Testing for a Unit Root in Time Series Regression </w:t>
      </w:r>
      <w:proofErr w:type="spellStart"/>
      <w:r w:rsidRPr="00BB7291">
        <w:rPr>
          <w:i/>
          <w:iCs/>
        </w:rPr>
        <w:t>Biometrika</w:t>
      </w:r>
      <w:proofErr w:type="spellEnd"/>
      <w:r w:rsidRPr="00BB7291">
        <w:rPr>
          <w:i/>
          <w:iCs/>
        </w:rPr>
        <w:t>,</w:t>
      </w:r>
      <w:r w:rsidRPr="00BB7291">
        <w:t xml:space="preserve"> 75:335-346.</w:t>
      </w:r>
      <w:proofErr w:type="gramEnd"/>
    </w:p>
    <w:p w:rsidR="00460606" w:rsidRPr="00BB7291" w:rsidRDefault="00460606" w:rsidP="00460606">
      <w:pPr>
        <w:tabs>
          <w:tab w:val="left" w:pos="90"/>
        </w:tabs>
        <w:ind w:left="720" w:hanging="720"/>
        <w:jc w:val="both"/>
      </w:pPr>
    </w:p>
    <w:p w:rsidR="00460606" w:rsidRDefault="00460606" w:rsidP="00460606">
      <w:pPr>
        <w:tabs>
          <w:tab w:val="left" w:pos="90"/>
        </w:tabs>
        <w:ind w:left="720" w:hanging="720"/>
        <w:jc w:val="both"/>
      </w:pPr>
      <w:proofErr w:type="gramStart"/>
      <w:r w:rsidRPr="00BB7291">
        <w:t>Dickey, D.A. and Fuller, W.A. (1979).</w:t>
      </w:r>
      <w:proofErr w:type="gramEnd"/>
      <w:r w:rsidRPr="00BB7291">
        <w:t xml:space="preserve"> Distributions of the Estimators for Autoregressive Time Series with a Unit root. </w:t>
      </w:r>
      <w:proofErr w:type="gramStart"/>
      <w:r w:rsidRPr="00BB7291">
        <w:rPr>
          <w:i/>
        </w:rPr>
        <w:t>Journal of the American Statistical Association.</w:t>
      </w:r>
      <w:proofErr w:type="gramEnd"/>
      <w:r w:rsidRPr="00BB7291">
        <w:t xml:space="preserve"> 74(366):427- 431.</w:t>
      </w:r>
    </w:p>
    <w:p w:rsidR="00503D51" w:rsidRPr="00BB7291" w:rsidRDefault="00503D51" w:rsidP="00460606">
      <w:pPr>
        <w:tabs>
          <w:tab w:val="left" w:pos="90"/>
        </w:tabs>
        <w:ind w:left="720" w:hanging="720"/>
        <w:jc w:val="both"/>
      </w:pPr>
    </w:p>
    <w:p w:rsidR="00503D51" w:rsidRDefault="00503D51" w:rsidP="00503D51">
      <w:pPr>
        <w:tabs>
          <w:tab w:val="left" w:pos="90"/>
        </w:tabs>
        <w:ind w:left="720" w:hanging="720"/>
        <w:jc w:val="both"/>
        <w:rPr>
          <w:iCs/>
        </w:rPr>
      </w:pPr>
      <w:proofErr w:type="gramStart"/>
      <w:r w:rsidRPr="00BB7291">
        <w:t xml:space="preserve">Johansen, S. and </w:t>
      </w:r>
      <w:proofErr w:type="spellStart"/>
      <w:r w:rsidRPr="00BB7291">
        <w:t>Juselius</w:t>
      </w:r>
      <w:proofErr w:type="spellEnd"/>
      <w:r w:rsidRPr="00BB7291">
        <w:t>, K.</w:t>
      </w:r>
      <w:proofErr w:type="gramEnd"/>
      <w:r w:rsidRPr="00BB7291">
        <w:t xml:space="preserve">  (1990). </w:t>
      </w:r>
      <w:r w:rsidRPr="00BB7291">
        <w:rPr>
          <w:iCs/>
        </w:rPr>
        <w:t xml:space="preserve">Identification of the Long Run and Short Run Structure: An Application of the IS-LM Model Discussion Paper, Institute of Economics, </w:t>
      </w:r>
      <w:proofErr w:type="gramStart"/>
      <w:r w:rsidRPr="00BB7291">
        <w:rPr>
          <w:iCs/>
        </w:rPr>
        <w:t>University</w:t>
      </w:r>
      <w:proofErr w:type="gramEnd"/>
      <w:r w:rsidRPr="00BB7291">
        <w:rPr>
          <w:iCs/>
        </w:rPr>
        <w:t xml:space="preserve"> of Copenhagen Press.</w:t>
      </w:r>
    </w:p>
    <w:p w:rsidR="005C0747" w:rsidRPr="00BB7291" w:rsidRDefault="005C0747" w:rsidP="00503D51">
      <w:pPr>
        <w:tabs>
          <w:tab w:val="left" w:pos="90"/>
        </w:tabs>
        <w:ind w:left="720" w:hanging="720"/>
        <w:jc w:val="both"/>
        <w:rPr>
          <w:iCs/>
        </w:rPr>
      </w:pPr>
    </w:p>
    <w:p w:rsidR="005C0747" w:rsidRDefault="005C0747" w:rsidP="005C0747">
      <w:pPr>
        <w:tabs>
          <w:tab w:val="left" w:pos="90"/>
        </w:tabs>
        <w:ind w:left="720" w:hanging="720"/>
        <w:jc w:val="both"/>
      </w:pPr>
      <w:r w:rsidRPr="00BB7291">
        <w:t xml:space="preserve">Gujarati, D.N. (2004) </w:t>
      </w:r>
      <w:r w:rsidRPr="00BB7291">
        <w:rPr>
          <w:i/>
        </w:rPr>
        <w:t>Basic Econom</w:t>
      </w:r>
      <w:r>
        <w:rPr>
          <w:i/>
        </w:rPr>
        <w:t>etr</w:t>
      </w:r>
      <w:r w:rsidRPr="00BB7291">
        <w:rPr>
          <w:i/>
        </w:rPr>
        <w:t>ics</w:t>
      </w:r>
      <w:r w:rsidRPr="00BB7291">
        <w:t xml:space="preserve"> (4th Ed</w:t>
      </w:r>
      <w:r>
        <w:t>.</w:t>
      </w:r>
      <w:r w:rsidRPr="00BB7291">
        <w:t xml:space="preserve">), New York: </w:t>
      </w:r>
      <w:proofErr w:type="spellStart"/>
      <w:r w:rsidRPr="00BB7291">
        <w:t>Mc-GrawHill</w:t>
      </w:r>
      <w:proofErr w:type="spellEnd"/>
      <w:r w:rsidRPr="00BB7291">
        <w:t xml:space="preserve"> International Edition.</w:t>
      </w:r>
    </w:p>
    <w:p w:rsidR="003B635E" w:rsidRDefault="003B635E" w:rsidP="005C0747">
      <w:pPr>
        <w:tabs>
          <w:tab w:val="left" w:pos="90"/>
        </w:tabs>
        <w:ind w:left="720" w:hanging="720"/>
        <w:jc w:val="both"/>
      </w:pPr>
    </w:p>
    <w:p w:rsidR="003B635E" w:rsidRPr="003B635E" w:rsidRDefault="003B635E" w:rsidP="005C0747">
      <w:pPr>
        <w:tabs>
          <w:tab w:val="left" w:pos="90"/>
        </w:tabs>
        <w:ind w:left="720" w:hanging="720"/>
        <w:jc w:val="both"/>
      </w:pPr>
      <w:proofErr w:type="spellStart"/>
      <w:r w:rsidRPr="003B635E">
        <w:t>Okpara</w:t>
      </w:r>
      <w:proofErr w:type="spellEnd"/>
      <w:r w:rsidRPr="003B635E">
        <w:t xml:space="preserve">, G. C. (2010). </w:t>
      </w:r>
      <w:proofErr w:type="gramStart"/>
      <w:r w:rsidRPr="003B635E">
        <w:t>Microfinance Banks and Poverty Alleviation in Nigeria.</w:t>
      </w:r>
      <w:proofErr w:type="gramEnd"/>
      <w:r w:rsidRPr="003B635E">
        <w:t xml:space="preserve"> </w:t>
      </w:r>
      <w:r w:rsidRPr="003B635E">
        <w:rPr>
          <w:i/>
          <w:iCs/>
        </w:rPr>
        <w:t>Journal of Sustainable Development in Africa</w:t>
      </w:r>
      <w:r w:rsidRPr="003B635E">
        <w:t xml:space="preserve">, </w:t>
      </w:r>
      <w:r w:rsidRPr="003B635E">
        <w:rPr>
          <w:iCs/>
        </w:rPr>
        <w:t>12</w:t>
      </w:r>
      <w:r w:rsidRPr="003B635E">
        <w:t>(6):177 – 191.</w:t>
      </w:r>
    </w:p>
    <w:p w:rsidR="00460606" w:rsidRDefault="00460606" w:rsidP="00BB7C24">
      <w:pPr>
        <w:pStyle w:val="NoSpacing"/>
        <w:ind w:left="720" w:hanging="720"/>
        <w:jc w:val="both"/>
      </w:pPr>
    </w:p>
    <w:p w:rsidR="00171B64" w:rsidRDefault="00171B64" w:rsidP="00BB7C24">
      <w:pPr>
        <w:pStyle w:val="NoSpacing"/>
        <w:ind w:left="720" w:hanging="720"/>
        <w:jc w:val="both"/>
      </w:pPr>
      <w:r>
        <w:lastRenderedPageBreak/>
        <w:t xml:space="preserve">Linn, C. (2017). Microfinance Institutions and Poverty Reduction: evidence from Nigeria. </w:t>
      </w:r>
      <w:proofErr w:type="gramStart"/>
      <w:r>
        <w:t xml:space="preserve">Unpublished </w:t>
      </w:r>
      <w:proofErr w:type="spellStart"/>
      <w:r>
        <w:t>M.Sc</w:t>
      </w:r>
      <w:proofErr w:type="spellEnd"/>
      <w:r>
        <w:t xml:space="preserve"> Thesis, Jonkoping University International Business School.</w:t>
      </w:r>
      <w:proofErr w:type="gramEnd"/>
    </w:p>
    <w:p w:rsidR="003B22B0" w:rsidRDefault="003B22B0" w:rsidP="00BB7C24">
      <w:pPr>
        <w:pStyle w:val="NoSpacing"/>
        <w:ind w:left="720" w:hanging="720"/>
        <w:jc w:val="both"/>
      </w:pPr>
    </w:p>
    <w:p w:rsidR="003B22B0" w:rsidRDefault="003B22B0" w:rsidP="003B22B0">
      <w:pPr>
        <w:shd w:val="clear" w:color="auto" w:fill="FFFFFF" w:themeFill="background1"/>
        <w:ind w:left="720" w:hanging="720"/>
        <w:jc w:val="both"/>
      </w:pPr>
      <w:r>
        <w:t xml:space="preserve">Adam, G. (2007). “Role of Microfinance in Actualization </w:t>
      </w:r>
      <w:proofErr w:type="spellStart"/>
      <w:r>
        <w:t>ofMDGs</w:t>
      </w:r>
      <w:proofErr w:type="spellEnd"/>
      <w:r>
        <w:t xml:space="preserve">”.In Paper </w:t>
      </w:r>
      <w:proofErr w:type="gramStart"/>
      <w:r>
        <w:t>Delivered</w:t>
      </w:r>
      <w:proofErr w:type="gramEnd"/>
      <w:r>
        <w:t xml:space="preserve"> at the Induction Ceremony of Institute of Chartered Economists of Nigeria, </w:t>
      </w:r>
      <w:proofErr w:type="spellStart"/>
      <w:r>
        <w:t>PortHarcourt</w:t>
      </w:r>
      <w:proofErr w:type="spellEnd"/>
      <w:r>
        <w:t>, Rivers State.</w:t>
      </w:r>
    </w:p>
    <w:p w:rsidR="00E552AC" w:rsidRDefault="00E552AC"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proofErr w:type="spellStart"/>
      <w:r>
        <w:t>Ayeyomi</w:t>
      </w:r>
      <w:proofErr w:type="spellEnd"/>
      <w:r>
        <w:t>, O. E. (2003). An Assessment of Poverty Reduction Strategies in Nigeria (1983-2002). An unpublished Dissertation submitted for the award of Doctor of Philosophy of the Saint Clement University.</w:t>
      </w:r>
    </w:p>
    <w:p w:rsidR="00E552AC" w:rsidRDefault="00E552AC" w:rsidP="003B22B0">
      <w:pPr>
        <w:shd w:val="clear" w:color="auto" w:fill="FFFFFF" w:themeFill="background1"/>
      </w:pPr>
    </w:p>
    <w:p w:rsidR="003B22B0" w:rsidRPr="00A67465" w:rsidRDefault="003B22B0" w:rsidP="003B22B0">
      <w:pPr>
        <w:shd w:val="clear" w:color="auto" w:fill="FFFFFF" w:themeFill="background1"/>
      </w:pPr>
      <w:proofErr w:type="spellStart"/>
      <w:proofErr w:type="gramStart"/>
      <w:r w:rsidRPr="002273D9">
        <w:t>Dre</w:t>
      </w:r>
      <w:r>
        <w:t>ze</w:t>
      </w:r>
      <w:proofErr w:type="spellEnd"/>
      <w:r>
        <w:t xml:space="preserve">, </w:t>
      </w:r>
      <w:r w:rsidRPr="002273D9">
        <w:t xml:space="preserve">J. and </w:t>
      </w:r>
      <w:proofErr w:type="spellStart"/>
      <w:r w:rsidRPr="002273D9">
        <w:t>Sen</w:t>
      </w:r>
      <w:proofErr w:type="spellEnd"/>
      <w:r w:rsidRPr="002273D9">
        <w:t>, A. (2000).</w:t>
      </w:r>
      <w:proofErr w:type="gramEnd"/>
      <w:r w:rsidRPr="002273D9">
        <w:t xml:space="preserve"> </w:t>
      </w:r>
      <w:proofErr w:type="gramStart"/>
      <w:r w:rsidRPr="002273D9">
        <w:t>H</w:t>
      </w:r>
      <w:r>
        <w:t>unger and Public Action.</w:t>
      </w:r>
      <w:proofErr w:type="gramEnd"/>
      <w:r>
        <w:t xml:space="preserve"> Oxford: </w:t>
      </w:r>
      <w:r w:rsidRPr="002273D9">
        <w:t>Oxford University Press.</w:t>
      </w:r>
    </w:p>
    <w:p w:rsidR="00E552AC" w:rsidRDefault="00E552AC" w:rsidP="003B22B0">
      <w:pPr>
        <w:shd w:val="clear" w:color="auto" w:fill="FFFFFF" w:themeFill="background1"/>
        <w:ind w:left="720" w:hanging="720"/>
      </w:pPr>
    </w:p>
    <w:p w:rsidR="003B22B0" w:rsidRDefault="003B22B0" w:rsidP="003B22B0">
      <w:pPr>
        <w:shd w:val="clear" w:color="auto" w:fill="FFFFFF" w:themeFill="background1"/>
        <w:ind w:left="720" w:hanging="720"/>
      </w:pPr>
      <w:proofErr w:type="gramStart"/>
      <w:r w:rsidRPr="002273D9">
        <w:t>National Bureau of Statistics</w:t>
      </w:r>
      <w:r>
        <w:t>,</w:t>
      </w:r>
      <w:r w:rsidRPr="002273D9">
        <w:t xml:space="preserve"> (2012).</w:t>
      </w:r>
      <w:proofErr w:type="gramEnd"/>
      <w:r w:rsidRPr="002273D9">
        <w:t xml:space="preserve"> </w:t>
      </w:r>
      <w:proofErr w:type="gramStart"/>
      <w:r w:rsidRPr="002273D9">
        <w:rPr>
          <w:i/>
        </w:rPr>
        <w:t>Nigeria Poverty Profile 2010</w:t>
      </w:r>
      <w:r>
        <w:t>.</w:t>
      </w:r>
      <w:proofErr w:type="gramEnd"/>
      <w:r>
        <w:t xml:space="preserve"> Abuja: NBS</w:t>
      </w:r>
    </w:p>
    <w:p w:rsidR="00E552AC" w:rsidRDefault="00E552AC" w:rsidP="003B22B0">
      <w:pPr>
        <w:shd w:val="clear" w:color="auto" w:fill="FFFFFF" w:themeFill="background1"/>
        <w:ind w:left="720" w:hanging="720"/>
        <w:jc w:val="both"/>
      </w:pPr>
    </w:p>
    <w:p w:rsidR="003B22B0" w:rsidRPr="002273D9" w:rsidRDefault="003B22B0" w:rsidP="003B22B0">
      <w:pPr>
        <w:shd w:val="clear" w:color="auto" w:fill="FFFFFF" w:themeFill="background1"/>
        <w:ind w:left="720" w:hanging="720"/>
        <w:jc w:val="both"/>
      </w:pPr>
      <w:proofErr w:type="spellStart"/>
      <w:r>
        <w:t>Jamil</w:t>
      </w:r>
      <w:proofErr w:type="spellEnd"/>
      <w:r>
        <w:t xml:space="preserve">, B. </w:t>
      </w:r>
      <w:r w:rsidRPr="00A67465">
        <w:t xml:space="preserve"> </w:t>
      </w:r>
      <w:proofErr w:type="gramStart"/>
      <w:r w:rsidRPr="00A67465">
        <w:t>(200</w:t>
      </w:r>
      <w:r>
        <w:t>8</w:t>
      </w:r>
      <w:r w:rsidRPr="00A67465">
        <w:t>)</w:t>
      </w:r>
      <w:r>
        <w:t>. Microfinance as a tool for poverty alleviation in Nigeria.</w:t>
      </w:r>
      <w:proofErr w:type="gramEnd"/>
      <w:r>
        <w:t xml:space="preserve"> Paper presented at Sensitization Workshop on Microfinance Banking in Kano State</w:t>
      </w:r>
    </w:p>
    <w:p w:rsidR="00E552AC" w:rsidRDefault="00E552AC"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proofErr w:type="spellStart"/>
      <w:r w:rsidRPr="00A67465">
        <w:t>Okafor</w:t>
      </w:r>
      <w:proofErr w:type="spellEnd"/>
      <w:r w:rsidRPr="00A67465">
        <w:t xml:space="preserve">, F. O. (1999). </w:t>
      </w:r>
      <w:proofErr w:type="gramStart"/>
      <w:r w:rsidRPr="00A67465">
        <w:t xml:space="preserve">Investment opportunities </w:t>
      </w:r>
      <w:r>
        <w:t>A</w:t>
      </w:r>
      <w:r w:rsidRPr="00A67465">
        <w:t>vailable to Community Banks.</w:t>
      </w:r>
      <w:proofErr w:type="gramEnd"/>
      <w:r w:rsidRPr="00A67465">
        <w:t xml:space="preserve"> Paper presented at a seminar on improving the profitability of Community Banks in the Next Millennium organized by Citizen Bank Ltd</w:t>
      </w:r>
      <w:r>
        <w:t>. Enugu, Nov. 6, pp. 12-14.</w:t>
      </w:r>
    </w:p>
    <w:p w:rsidR="00E552AC" w:rsidRDefault="00E552AC"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proofErr w:type="spellStart"/>
      <w:r>
        <w:t>Eadgerwood</w:t>
      </w:r>
      <w:proofErr w:type="spellEnd"/>
      <w:r>
        <w:t>, J. (1999</w:t>
      </w:r>
      <w:r w:rsidRPr="00A67465">
        <w:t>)</w:t>
      </w:r>
      <w:r>
        <w:t xml:space="preserve">. </w:t>
      </w:r>
      <w:proofErr w:type="gramStart"/>
      <w:r>
        <w:t>“Sustainable Banking for the Poor Project in South Asia” World Bank Economic Review.</w:t>
      </w:r>
      <w:proofErr w:type="gramEnd"/>
    </w:p>
    <w:p w:rsidR="00E552AC" w:rsidRDefault="00E552AC"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r>
        <w:t xml:space="preserve">Littlefield, J., Moth, S., and </w:t>
      </w:r>
      <w:proofErr w:type="spellStart"/>
      <w:r>
        <w:t>Vernimi</w:t>
      </w:r>
      <w:proofErr w:type="spellEnd"/>
      <w:r>
        <w:t xml:space="preserve">, T. (2005). </w:t>
      </w:r>
      <w:proofErr w:type="gramStart"/>
      <w:r>
        <w:t xml:space="preserve">“Is Microfinance an Effective Strategy to </w:t>
      </w:r>
      <w:proofErr w:type="spellStart"/>
      <w:r>
        <w:t>Researh</w:t>
      </w:r>
      <w:proofErr w:type="spellEnd"/>
      <w:r>
        <w:t xml:space="preserve">-the </w:t>
      </w:r>
      <w:proofErr w:type="spellStart"/>
      <w:r>
        <w:t>Millenium</w:t>
      </w:r>
      <w:proofErr w:type="spellEnd"/>
      <w:r>
        <w:t xml:space="preserve"> Development </w:t>
      </w:r>
      <w:proofErr w:type="spellStart"/>
      <w:r>
        <w:t>Goals”.</w:t>
      </w:r>
      <w:r w:rsidRPr="00BA5DE5">
        <w:t>Research</w:t>
      </w:r>
      <w:proofErr w:type="spellEnd"/>
      <w:r w:rsidRPr="00BA5DE5">
        <w:t xml:space="preserve"> Paper of Consultative</w:t>
      </w:r>
      <w:r>
        <w:t xml:space="preserve"> Group to Assist the Poor.</w:t>
      </w:r>
      <w:proofErr w:type="gramEnd"/>
      <w:r>
        <w:t xml:space="preserve"> </w:t>
      </w:r>
      <w:proofErr w:type="spellStart"/>
      <w:r>
        <w:t>Washinton</w:t>
      </w:r>
      <w:proofErr w:type="spellEnd"/>
      <w:r>
        <w:t xml:space="preserve"> D.C </w:t>
      </w:r>
    </w:p>
    <w:p w:rsidR="00E552AC" w:rsidRDefault="00E552AC" w:rsidP="003B22B0">
      <w:pPr>
        <w:shd w:val="clear" w:color="auto" w:fill="FFFFFF" w:themeFill="background1"/>
        <w:ind w:left="720" w:hanging="720"/>
        <w:jc w:val="both"/>
      </w:pPr>
    </w:p>
    <w:p w:rsidR="003B22B0" w:rsidRPr="00A67465" w:rsidRDefault="003B22B0" w:rsidP="003B22B0">
      <w:pPr>
        <w:shd w:val="clear" w:color="auto" w:fill="FFFFFF" w:themeFill="background1"/>
        <w:ind w:left="720" w:hanging="720"/>
        <w:jc w:val="both"/>
      </w:pPr>
      <w:proofErr w:type="spellStart"/>
      <w:r>
        <w:t>Olaniyan</w:t>
      </w:r>
      <w:proofErr w:type="spellEnd"/>
      <w:r>
        <w:t xml:space="preserve">, A. (2000). </w:t>
      </w:r>
      <w:proofErr w:type="gramStart"/>
      <w:r>
        <w:t xml:space="preserve">Experiences of Management of Credit </w:t>
      </w:r>
      <w:proofErr w:type="spellStart"/>
      <w:r>
        <w:t>Deliveryfrom</w:t>
      </w:r>
      <w:proofErr w:type="spellEnd"/>
      <w:r>
        <w:t xml:space="preserve"> an Apex Organization: The experience of FADU Micro and Rural Finance Conference, Abuja, September 12-15.</w:t>
      </w:r>
      <w:proofErr w:type="gramEnd"/>
    </w:p>
    <w:p w:rsidR="00E552AC" w:rsidRDefault="00E552AC" w:rsidP="003B22B0">
      <w:pPr>
        <w:shd w:val="clear" w:color="auto" w:fill="FFFFFF" w:themeFill="background1"/>
        <w:ind w:left="720" w:hanging="720"/>
        <w:jc w:val="both"/>
      </w:pPr>
    </w:p>
    <w:p w:rsidR="003B22B0" w:rsidRPr="00A67465" w:rsidRDefault="003B22B0" w:rsidP="003B22B0">
      <w:pPr>
        <w:shd w:val="clear" w:color="auto" w:fill="FFFFFF" w:themeFill="background1"/>
        <w:ind w:left="720" w:hanging="720"/>
        <w:jc w:val="both"/>
      </w:pPr>
      <w:proofErr w:type="spellStart"/>
      <w:r w:rsidRPr="00A67465">
        <w:t>Repnik</w:t>
      </w:r>
      <w:proofErr w:type="spellEnd"/>
      <w:r w:rsidRPr="00A67465">
        <w:t xml:space="preserve">, Hans-Peter (1994). </w:t>
      </w:r>
      <w:proofErr w:type="gramStart"/>
      <w:r w:rsidRPr="00A67465">
        <w:t>Poverty Relief and Social Integration as takes of international corporation conceptual consideration of the Federal Republic of Germany.</w:t>
      </w:r>
      <w:proofErr w:type="gramEnd"/>
      <w:r w:rsidRPr="00A67465">
        <w:t xml:space="preserve"> In</w:t>
      </w:r>
      <w:r>
        <w:t>:</w:t>
      </w:r>
      <w:r w:rsidRPr="00A67465">
        <w:t xml:space="preserve"> J. </w:t>
      </w:r>
      <w:proofErr w:type="spellStart"/>
      <w:r w:rsidRPr="00A67465">
        <w:t>Thesing</w:t>
      </w:r>
      <w:proofErr w:type="spellEnd"/>
      <w:r w:rsidRPr="00A67465">
        <w:t xml:space="preserve"> (ed.) Democracy and Social Justice</w:t>
      </w:r>
      <w:r>
        <w:t>.</w:t>
      </w:r>
      <w:r w:rsidRPr="00A67465">
        <w:t xml:space="preserve"> </w:t>
      </w:r>
      <w:proofErr w:type="spellStart"/>
      <w:proofErr w:type="gramStart"/>
      <w:r w:rsidRPr="00A67465">
        <w:t>Konrad</w:t>
      </w:r>
      <w:proofErr w:type="spellEnd"/>
      <w:r w:rsidRPr="00A67465">
        <w:t xml:space="preserve"> Adenauer foundation for international co-operation.</w:t>
      </w:r>
      <w:proofErr w:type="gramEnd"/>
    </w:p>
    <w:p w:rsidR="00E552AC" w:rsidRDefault="00E552AC"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proofErr w:type="spellStart"/>
      <w:r w:rsidRPr="00A67465">
        <w:t>Soludo</w:t>
      </w:r>
      <w:proofErr w:type="spellEnd"/>
      <w:r>
        <w:t>,</w:t>
      </w:r>
      <w:r w:rsidRPr="00A67465">
        <w:t xml:space="preserve"> C. (2005)</w:t>
      </w:r>
      <w:r>
        <w:t>.</w:t>
      </w:r>
      <w:r w:rsidRPr="00A67465">
        <w:t xml:space="preserve"> </w:t>
      </w:r>
      <w:r>
        <w:t xml:space="preserve"> </w:t>
      </w:r>
      <w:proofErr w:type="gramStart"/>
      <w:r w:rsidRPr="00A67465">
        <w:t>Re-thinking Micro-financing Institutions in Nigeria</w:t>
      </w:r>
      <w:r>
        <w:t>.</w:t>
      </w:r>
      <w:proofErr w:type="gramEnd"/>
      <w:r>
        <w:t xml:space="preserve"> CBN Bu</w:t>
      </w:r>
      <w:r w:rsidRPr="00A67465">
        <w:t xml:space="preserve">llion, 9 </w:t>
      </w:r>
      <w:r>
        <w:t>(</w:t>
      </w:r>
      <w:r w:rsidRPr="00A67465">
        <w:t xml:space="preserve">July </w:t>
      </w:r>
      <w:r>
        <w:t>–Nov):</w:t>
      </w:r>
      <w:r w:rsidRPr="00A67465">
        <w:t xml:space="preserve">  20-26.</w:t>
      </w:r>
    </w:p>
    <w:p w:rsidR="00E552AC" w:rsidRDefault="00E552AC" w:rsidP="003B22B0">
      <w:pPr>
        <w:shd w:val="clear" w:color="auto" w:fill="FFFFFF" w:themeFill="background1"/>
        <w:ind w:left="720" w:hanging="720"/>
        <w:jc w:val="both"/>
      </w:pPr>
    </w:p>
    <w:p w:rsidR="003B22B0" w:rsidRPr="004F4BF7" w:rsidRDefault="003B22B0" w:rsidP="003B22B0">
      <w:pPr>
        <w:shd w:val="clear" w:color="auto" w:fill="FFFFFF" w:themeFill="background1"/>
        <w:ind w:left="720" w:hanging="720"/>
        <w:jc w:val="both"/>
      </w:pPr>
      <w:proofErr w:type="spellStart"/>
      <w:r w:rsidRPr="00A67465">
        <w:t>Soludo</w:t>
      </w:r>
      <w:proofErr w:type="spellEnd"/>
      <w:r>
        <w:t>,</w:t>
      </w:r>
      <w:r w:rsidRPr="00A67465">
        <w:t xml:space="preserve"> C. (200</w:t>
      </w:r>
      <w:r>
        <w:t>6</w:t>
      </w:r>
      <w:r w:rsidRPr="00A67465">
        <w:t>)</w:t>
      </w:r>
      <w:r>
        <w:t xml:space="preserve">. </w:t>
      </w:r>
      <w:proofErr w:type="gramStart"/>
      <w:r>
        <w:t>“Understanding Microfinance Policy.”</w:t>
      </w:r>
      <w:proofErr w:type="gramEnd"/>
      <w:r>
        <w:t xml:space="preserve"> In the </w:t>
      </w:r>
      <w:r w:rsidRPr="004F4BF7">
        <w:rPr>
          <w:i/>
        </w:rPr>
        <w:t>Guardian Newspaper</w:t>
      </w:r>
      <w:r>
        <w:rPr>
          <w:i/>
        </w:rPr>
        <w:t xml:space="preserve"> </w:t>
      </w:r>
      <w:r>
        <w:t>Tuesday, May 1, pp.25-27</w:t>
      </w:r>
    </w:p>
    <w:p w:rsidR="00E552AC" w:rsidRDefault="00E552AC" w:rsidP="003B22B0">
      <w:pPr>
        <w:shd w:val="clear" w:color="auto" w:fill="FFFFFF" w:themeFill="background1"/>
        <w:ind w:left="720" w:hanging="720"/>
        <w:jc w:val="both"/>
      </w:pPr>
    </w:p>
    <w:p w:rsidR="003B22B0" w:rsidRPr="00A67465" w:rsidRDefault="003B22B0" w:rsidP="003B22B0">
      <w:pPr>
        <w:shd w:val="clear" w:color="auto" w:fill="FFFFFF" w:themeFill="background1"/>
        <w:ind w:left="720" w:hanging="720"/>
        <w:jc w:val="both"/>
      </w:pPr>
      <w:proofErr w:type="spellStart"/>
      <w:r w:rsidRPr="00A67465">
        <w:t>Tanko</w:t>
      </w:r>
      <w:proofErr w:type="spellEnd"/>
      <w:r>
        <w:t>,</w:t>
      </w:r>
      <w:r w:rsidRPr="00A67465">
        <w:t xml:space="preserve"> S. K. (2007). </w:t>
      </w:r>
      <w:proofErr w:type="gramStart"/>
      <w:r w:rsidRPr="00A67465">
        <w:t>Profits and Profitability of India</w:t>
      </w:r>
      <w:r>
        <w:t>n Commercial Banks in seventies.</w:t>
      </w:r>
      <w:proofErr w:type="gramEnd"/>
      <w:r w:rsidRPr="00A67465">
        <w:t xml:space="preserve"> Bombay: National Institute of Bank Management, pp. 24 - 25.</w:t>
      </w:r>
    </w:p>
    <w:p w:rsidR="00E552AC" w:rsidRDefault="00E552AC" w:rsidP="003B22B0">
      <w:pPr>
        <w:shd w:val="clear" w:color="auto" w:fill="FFFFFF" w:themeFill="background1"/>
        <w:ind w:left="720" w:hanging="720"/>
        <w:jc w:val="both"/>
      </w:pPr>
    </w:p>
    <w:p w:rsidR="003B22B0" w:rsidRPr="00A67465" w:rsidRDefault="003B22B0" w:rsidP="003B22B0">
      <w:pPr>
        <w:shd w:val="clear" w:color="auto" w:fill="FFFFFF" w:themeFill="background1"/>
        <w:ind w:left="720" w:hanging="720"/>
        <w:jc w:val="both"/>
      </w:pPr>
      <w:r w:rsidRPr="00A67465">
        <w:t>Watt</w:t>
      </w:r>
      <w:r>
        <w:t>,</w:t>
      </w:r>
      <w:r w:rsidRPr="00A67465">
        <w:t xml:space="preserve"> P. (2000) Social Investment and Economic Growth: Strategy to Eradicate Poverty. Oxford: Oxford G. B.</w:t>
      </w:r>
    </w:p>
    <w:p w:rsidR="00E552AC" w:rsidRDefault="00E552AC"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proofErr w:type="spellStart"/>
      <w:r w:rsidRPr="00A67465">
        <w:lastRenderedPageBreak/>
        <w:t>Ijere</w:t>
      </w:r>
      <w:proofErr w:type="spellEnd"/>
      <w:r w:rsidRPr="00A67465">
        <w:t xml:space="preserve">, M. O. (1992). </w:t>
      </w:r>
      <w:proofErr w:type="gramStart"/>
      <w:r w:rsidRPr="00A67465">
        <w:t>New Perspective in financing Nigerian Agriculture.</w:t>
      </w:r>
      <w:proofErr w:type="gramEnd"/>
      <w:r w:rsidRPr="00A67465">
        <w:t xml:space="preserve"> Enugu</w:t>
      </w:r>
      <w:r>
        <w:t>: 4th</w:t>
      </w:r>
      <w:r w:rsidRPr="00A67465">
        <w:t xml:space="preserve"> Dimension Pub</w:t>
      </w:r>
      <w:r>
        <w:t>lishers</w:t>
      </w:r>
      <w:r w:rsidRPr="00A67465">
        <w:t>.</w:t>
      </w:r>
    </w:p>
    <w:p w:rsidR="003B22B0" w:rsidRDefault="003B22B0"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proofErr w:type="spellStart"/>
      <w:proofErr w:type="gramStart"/>
      <w:r>
        <w:t>Zaman</w:t>
      </w:r>
      <w:proofErr w:type="spellEnd"/>
      <w:r>
        <w:t>, H. (2004).</w:t>
      </w:r>
      <w:proofErr w:type="gramEnd"/>
      <w:r>
        <w:t xml:space="preserve"> </w:t>
      </w:r>
      <w:proofErr w:type="spellStart"/>
      <w:r>
        <w:t>Micofinance</w:t>
      </w:r>
      <w:proofErr w:type="spellEnd"/>
      <w:r>
        <w:t xml:space="preserve"> in Bangladesh: Growth, Achievements and </w:t>
      </w:r>
      <w:proofErr w:type="spellStart"/>
      <w:r>
        <w:t>Lesons</w:t>
      </w:r>
      <w:proofErr w:type="spellEnd"/>
      <w:r>
        <w:t xml:space="preserve"> In Sealing up Poverty </w:t>
      </w:r>
      <w:proofErr w:type="spellStart"/>
      <w:r>
        <w:t>Reducction</w:t>
      </w:r>
      <w:proofErr w:type="gramStart"/>
      <w:r>
        <w:t>:Case</w:t>
      </w:r>
      <w:proofErr w:type="spellEnd"/>
      <w:proofErr w:type="gramEnd"/>
      <w:r>
        <w:t xml:space="preserve"> study in Micro Finance. </w:t>
      </w:r>
      <w:proofErr w:type="gramStart"/>
      <w:r>
        <w:t>Washington  DC</w:t>
      </w:r>
      <w:proofErr w:type="gramEnd"/>
      <w:r>
        <w:t xml:space="preserve">. CGAP/the World </w:t>
      </w:r>
    </w:p>
    <w:p w:rsidR="00E552AC" w:rsidRDefault="00E552AC" w:rsidP="003B22B0">
      <w:pPr>
        <w:shd w:val="clear" w:color="auto" w:fill="FFFFFF" w:themeFill="background1"/>
        <w:ind w:left="720" w:hanging="720"/>
        <w:jc w:val="both"/>
      </w:pPr>
    </w:p>
    <w:p w:rsidR="003B22B0" w:rsidRDefault="003B22B0" w:rsidP="003B22B0">
      <w:pPr>
        <w:shd w:val="clear" w:color="auto" w:fill="FFFFFF" w:themeFill="background1"/>
        <w:ind w:left="720" w:hanging="720"/>
        <w:jc w:val="both"/>
      </w:pPr>
      <w:proofErr w:type="spellStart"/>
      <w:r>
        <w:t>Kanu</w:t>
      </w:r>
      <w:proofErr w:type="spellEnd"/>
      <w:r>
        <w:t xml:space="preserve">, C. and </w:t>
      </w:r>
      <w:proofErr w:type="spellStart"/>
      <w:r>
        <w:t>Isu</w:t>
      </w:r>
      <w:proofErr w:type="spellEnd"/>
      <w:r>
        <w:t>, G. (2015</w:t>
      </w:r>
      <w:r w:rsidRPr="00A67465">
        <w:t xml:space="preserve">) </w:t>
      </w:r>
      <w:proofErr w:type="spellStart"/>
      <w:r>
        <w:t>Microfiance</w:t>
      </w:r>
      <w:proofErr w:type="spellEnd"/>
      <w:r>
        <w:t xml:space="preserve"> Banks Operations, Constraints and Suggested Solutions: An Evaluation.</w:t>
      </w:r>
      <w:r w:rsidRPr="00A67465">
        <w:t xml:space="preserve"> </w:t>
      </w:r>
      <w:proofErr w:type="gramStart"/>
      <w:r>
        <w:t xml:space="preserve">Available online at </w:t>
      </w:r>
      <w:hyperlink r:id="rId7" w:history="1">
        <w:r w:rsidRPr="004C1EDC">
          <w:rPr>
            <w:rStyle w:val="Hyperlink"/>
          </w:rPr>
          <w:t>www.globalbizresearch.org</w:t>
        </w:r>
      </w:hyperlink>
      <w:r>
        <w:t>.</w:t>
      </w:r>
      <w:proofErr w:type="gramEnd"/>
      <w:r>
        <w:t xml:space="preserve"> </w:t>
      </w:r>
      <w:proofErr w:type="gramStart"/>
      <w:r>
        <w:t>Retrieved on March 15, 2017.</w:t>
      </w:r>
      <w:proofErr w:type="gramEnd"/>
    </w:p>
    <w:p w:rsidR="00E552AC" w:rsidRDefault="00E552AC" w:rsidP="003B22B0">
      <w:pPr>
        <w:shd w:val="clear" w:color="auto" w:fill="FFFFFF" w:themeFill="background1"/>
      </w:pPr>
    </w:p>
    <w:p w:rsidR="003B22B0" w:rsidRPr="00A67465" w:rsidRDefault="003B22B0" w:rsidP="003B22B0">
      <w:pPr>
        <w:shd w:val="clear" w:color="auto" w:fill="FFFFFF" w:themeFill="background1"/>
      </w:pPr>
      <w:proofErr w:type="spellStart"/>
      <w:proofErr w:type="gramStart"/>
      <w:r w:rsidRPr="002273D9">
        <w:t>Dre</w:t>
      </w:r>
      <w:r>
        <w:t>ze</w:t>
      </w:r>
      <w:proofErr w:type="spellEnd"/>
      <w:r>
        <w:t xml:space="preserve">, </w:t>
      </w:r>
      <w:r w:rsidRPr="002273D9">
        <w:t xml:space="preserve">J. and </w:t>
      </w:r>
      <w:proofErr w:type="spellStart"/>
      <w:r w:rsidRPr="002273D9">
        <w:t>Sen</w:t>
      </w:r>
      <w:proofErr w:type="spellEnd"/>
      <w:r w:rsidRPr="002273D9">
        <w:t>, A. (2000).</w:t>
      </w:r>
      <w:proofErr w:type="gramEnd"/>
      <w:r w:rsidRPr="002273D9">
        <w:t xml:space="preserve"> </w:t>
      </w:r>
      <w:proofErr w:type="gramStart"/>
      <w:r w:rsidRPr="002273D9">
        <w:t>H</w:t>
      </w:r>
      <w:r>
        <w:t>unger and Public Action.</w:t>
      </w:r>
      <w:proofErr w:type="gramEnd"/>
      <w:r>
        <w:t xml:space="preserve"> Oxford: </w:t>
      </w:r>
      <w:r w:rsidRPr="002273D9">
        <w:t>Oxford University Press.</w:t>
      </w:r>
    </w:p>
    <w:p w:rsidR="00E552AC" w:rsidRDefault="00E552AC" w:rsidP="003B22B0">
      <w:pPr>
        <w:shd w:val="clear" w:color="auto" w:fill="FFFFFF" w:themeFill="background1"/>
        <w:ind w:left="1440" w:hanging="1440"/>
        <w:jc w:val="both"/>
      </w:pPr>
    </w:p>
    <w:p w:rsidR="003B22B0" w:rsidRPr="00A67465" w:rsidRDefault="003B22B0" w:rsidP="003B22B0">
      <w:pPr>
        <w:shd w:val="clear" w:color="auto" w:fill="FFFFFF" w:themeFill="background1"/>
        <w:ind w:left="1440" w:hanging="1440"/>
        <w:jc w:val="both"/>
      </w:pPr>
      <w:proofErr w:type="gramStart"/>
      <w:r w:rsidRPr="00A67465">
        <w:t>CBN</w:t>
      </w:r>
      <w:r>
        <w:t>,</w:t>
      </w:r>
      <w:r w:rsidRPr="00A67465">
        <w:t xml:space="preserve"> (2006).</w:t>
      </w:r>
      <w:proofErr w:type="gramEnd"/>
      <w:r w:rsidRPr="00A67465">
        <w:t xml:space="preserve"> An Assessment of Microfinance Banks and </w:t>
      </w:r>
      <w:r>
        <w:t xml:space="preserve">Institutions in Nigeria, </w:t>
      </w:r>
      <w:proofErr w:type="spellStart"/>
      <w:r>
        <w:t>Abuja</w:t>
      </w:r>
      <w:proofErr w:type="gramStart"/>
      <w:r>
        <w:t>:CBN</w:t>
      </w:r>
      <w:proofErr w:type="spellEnd"/>
      <w:proofErr w:type="gramEnd"/>
    </w:p>
    <w:p w:rsidR="003B22B0" w:rsidRDefault="003B22B0" w:rsidP="003B22B0">
      <w:pPr>
        <w:autoSpaceDE w:val="0"/>
        <w:autoSpaceDN w:val="0"/>
        <w:adjustRightInd w:val="0"/>
        <w:rPr>
          <w:lang w:val="en-GB"/>
        </w:rPr>
      </w:pPr>
    </w:p>
    <w:p w:rsidR="003B22B0" w:rsidRPr="00A67465" w:rsidRDefault="003B22B0" w:rsidP="003B22B0">
      <w:pPr>
        <w:shd w:val="clear" w:color="auto" w:fill="FFFFFF" w:themeFill="background1"/>
        <w:ind w:left="720" w:hanging="720"/>
        <w:jc w:val="both"/>
      </w:pPr>
      <w:r>
        <w:t xml:space="preserve">CBN, (2011).Review of Microfinance </w:t>
      </w:r>
      <w:proofErr w:type="spellStart"/>
      <w:r>
        <w:t>PolicyFramework</w:t>
      </w:r>
      <w:proofErr w:type="spellEnd"/>
      <w:r>
        <w:t xml:space="preserve">, </w:t>
      </w:r>
      <w:proofErr w:type="spellStart"/>
      <w:r>
        <w:t>Abuja</w:t>
      </w:r>
      <w:proofErr w:type="gramStart"/>
      <w:r>
        <w:t>:Government</w:t>
      </w:r>
      <w:proofErr w:type="spellEnd"/>
      <w:proofErr w:type="gramEnd"/>
      <w:r>
        <w:t xml:space="preserve"> Press</w:t>
      </w:r>
    </w:p>
    <w:p w:rsidR="003B22B0" w:rsidRPr="009B1AF5" w:rsidRDefault="003B22B0" w:rsidP="003B22B0">
      <w:pPr>
        <w:shd w:val="clear" w:color="auto" w:fill="FFFFFF" w:themeFill="background1"/>
        <w:ind w:left="720" w:hanging="720"/>
        <w:jc w:val="both"/>
      </w:pPr>
      <w:proofErr w:type="gramStart"/>
      <w:r>
        <w:t>CBN, (2005).</w:t>
      </w:r>
      <w:proofErr w:type="gramEnd"/>
      <w:r>
        <w:t xml:space="preserve"> Microfinance, Regulatory and </w:t>
      </w:r>
      <w:proofErr w:type="gramStart"/>
      <w:r>
        <w:t>Supervisory  Framework</w:t>
      </w:r>
      <w:proofErr w:type="gramEnd"/>
      <w:r>
        <w:t xml:space="preserve"> for Nigeria: Abuja, Nigeria</w:t>
      </w:r>
    </w:p>
    <w:p w:rsidR="00E552AC" w:rsidRDefault="00E552AC" w:rsidP="00E552AC">
      <w:pPr>
        <w:autoSpaceDE w:val="0"/>
        <w:autoSpaceDN w:val="0"/>
        <w:adjustRightInd w:val="0"/>
        <w:ind w:left="720" w:hanging="720"/>
        <w:rPr>
          <w:lang w:val="en-GB"/>
        </w:rPr>
      </w:pPr>
    </w:p>
    <w:p w:rsidR="003B22B0" w:rsidRDefault="003B22B0" w:rsidP="00E552AC">
      <w:pPr>
        <w:autoSpaceDE w:val="0"/>
        <w:autoSpaceDN w:val="0"/>
        <w:adjustRightInd w:val="0"/>
        <w:ind w:left="720" w:hanging="720"/>
        <w:rPr>
          <w:lang w:val="en-GB"/>
        </w:rPr>
      </w:pPr>
      <w:proofErr w:type="spellStart"/>
      <w:r w:rsidRPr="001F0B6E">
        <w:rPr>
          <w:lang w:val="en-GB"/>
        </w:rPr>
        <w:t>Adeyemi</w:t>
      </w:r>
      <w:proofErr w:type="spellEnd"/>
      <w:r w:rsidRPr="001F0B6E">
        <w:rPr>
          <w:lang w:val="en-GB"/>
        </w:rPr>
        <w:t>, K. S., 2008, Institutional Reforms for Efficient Microfinance Operations in</w:t>
      </w:r>
      <w:r>
        <w:rPr>
          <w:lang w:val="en-GB"/>
        </w:rPr>
        <w:t xml:space="preserve"> Nigeria             Central  Bank of Nigeria, Bullion, 32(1), 26-34.</w:t>
      </w:r>
    </w:p>
    <w:p w:rsidR="003B22B0" w:rsidRDefault="003B22B0" w:rsidP="003B22B0">
      <w:pPr>
        <w:autoSpaceDE w:val="0"/>
        <w:autoSpaceDN w:val="0"/>
        <w:adjustRightInd w:val="0"/>
        <w:rPr>
          <w:lang w:val="en-GB"/>
        </w:rPr>
      </w:pPr>
    </w:p>
    <w:p w:rsidR="003B22B0" w:rsidRDefault="003B22B0" w:rsidP="00E552AC">
      <w:pPr>
        <w:autoSpaceDE w:val="0"/>
        <w:autoSpaceDN w:val="0"/>
        <w:adjustRightInd w:val="0"/>
        <w:ind w:left="720" w:hanging="720"/>
        <w:rPr>
          <w:lang w:val="en-GB"/>
        </w:rPr>
      </w:pPr>
      <w:proofErr w:type="spellStart"/>
      <w:r w:rsidRPr="001F0B6E">
        <w:rPr>
          <w:lang w:val="en-GB"/>
        </w:rPr>
        <w:t>Okpara</w:t>
      </w:r>
      <w:proofErr w:type="spellEnd"/>
      <w:r w:rsidRPr="001F0B6E">
        <w:rPr>
          <w:lang w:val="en-GB"/>
        </w:rPr>
        <w:t>, G. C., 2009, A Synthesis of the Critical Factors Affecting Performance of the</w:t>
      </w:r>
      <w:r>
        <w:rPr>
          <w:lang w:val="en-GB"/>
        </w:rPr>
        <w:t xml:space="preserve">    </w:t>
      </w:r>
      <w:r w:rsidRPr="001F0B6E">
        <w:rPr>
          <w:lang w:val="en-GB"/>
        </w:rPr>
        <w:t xml:space="preserve">Nigerian banking System. </w:t>
      </w:r>
      <w:r w:rsidRPr="001F0B6E">
        <w:rPr>
          <w:i/>
          <w:iCs/>
          <w:lang w:val="en-GB"/>
        </w:rPr>
        <w:t>European Journal of Economics, Finance and Administrative</w:t>
      </w:r>
      <w:r w:rsidR="00E552AC">
        <w:rPr>
          <w:i/>
          <w:iCs/>
          <w:lang w:val="en-GB"/>
        </w:rPr>
        <w:t xml:space="preserve"> </w:t>
      </w:r>
      <w:r w:rsidRPr="001F0B6E">
        <w:rPr>
          <w:i/>
          <w:iCs/>
          <w:lang w:val="en-GB"/>
        </w:rPr>
        <w:t>Sciences</w:t>
      </w:r>
      <w:r w:rsidRPr="001F0B6E">
        <w:rPr>
          <w:lang w:val="en-GB"/>
        </w:rPr>
        <w:t>, Issue 17, 34-44</w:t>
      </w:r>
    </w:p>
    <w:p w:rsidR="003B22B0" w:rsidRDefault="003B22B0" w:rsidP="00E552AC">
      <w:pPr>
        <w:autoSpaceDE w:val="0"/>
        <w:autoSpaceDN w:val="0"/>
        <w:adjustRightInd w:val="0"/>
        <w:ind w:left="720" w:hanging="720"/>
        <w:rPr>
          <w:lang w:val="en-GB"/>
        </w:rPr>
      </w:pPr>
      <w:proofErr w:type="spellStart"/>
      <w:r w:rsidRPr="008642AC">
        <w:rPr>
          <w:lang w:val="en-GB"/>
        </w:rPr>
        <w:t>Olaitan</w:t>
      </w:r>
      <w:proofErr w:type="spellEnd"/>
      <w:r w:rsidRPr="008642AC">
        <w:rPr>
          <w:lang w:val="en-GB"/>
        </w:rPr>
        <w:t xml:space="preserve">, M. A. (2001). </w:t>
      </w:r>
      <w:proofErr w:type="gramStart"/>
      <w:r w:rsidRPr="008642AC">
        <w:rPr>
          <w:lang w:val="en-GB"/>
        </w:rPr>
        <w:t>Emerging issues on micro and rural financing in Nigeria.</w:t>
      </w:r>
      <w:proofErr w:type="gramEnd"/>
      <w:r w:rsidRPr="008642AC">
        <w:rPr>
          <w:lang w:val="en-GB"/>
        </w:rPr>
        <w:t xml:space="preserve"> </w:t>
      </w:r>
      <w:r w:rsidRPr="008642AC">
        <w:rPr>
          <w:i/>
          <w:iCs/>
          <w:lang w:val="en-GB"/>
        </w:rPr>
        <w:t>Central Bank of Nigeria Bullion 25</w:t>
      </w:r>
      <w:r w:rsidRPr="008642AC">
        <w:rPr>
          <w:lang w:val="en-GB"/>
        </w:rPr>
        <w:t>(1), 64-71.</w:t>
      </w:r>
    </w:p>
    <w:p w:rsidR="003B22B0" w:rsidRDefault="003B22B0" w:rsidP="003B22B0">
      <w:pPr>
        <w:autoSpaceDE w:val="0"/>
        <w:autoSpaceDN w:val="0"/>
        <w:adjustRightInd w:val="0"/>
        <w:rPr>
          <w:lang w:val="en-GB"/>
        </w:rPr>
      </w:pPr>
    </w:p>
    <w:p w:rsidR="003B22B0" w:rsidRPr="008642AC" w:rsidRDefault="003B22B0" w:rsidP="00E552AC">
      <w:pPr>
        <w:autoSpaceDE w:val="0"/>
        <w:autoSpaceDN w:val="0"/>
        <w:adjustRightInd w:val="0"/>
        <w:ind w:left="720" w:hanging="720"/>
        <w:rPr>
          <w:lang w:val="en-GB"/>
        </w:rPr>
      </w:pPr>
      <w:proofErr w:type="spellStart"/>
      <w:r>
        <w:rPr>
          <w:lang w:val="en-GB"/>
        </w:rPr>
        <w:t>Abiola</w:t>
      </w:r>
      <w:proofErr w:type="spellEnd"/>
      <w:r>
        <w:rPr>
          <w:lang w:val="en-GB"/>
        </w:rPr>
        <w:t xml:space="preserve">, B. (2011). </w:t>
      </w:r>
      <w:proofErr w:type="gramStart"/>
      <w:r>
        <w:rPr>
          <w:lang w:val="en-GB"/>
        </w:rPr>
        <w:t>Impact Analysis of Microfinance in Nigeria.</w:t>
      </w:r>
      <w:proofErr w:type="gramEnd"/>
      <w:r>
        <w:rPr>
          <w:lang w:val="en-GB"/>
        </w:rPr>
        <w:t xml:space="preserve"> Available online</w:t>
      </w:r>
      <w:r w:rsidRPr="007069B1">
        <w:rPr>
          <w:lang w:val="en-GB"/>
        </w:rPr>
        <w:t>:</w:t>
      </w:r>
      <w:r>
        <w:rPr>
          <w:lang w:val="en-GB"/>
        </w:rPr>
        <w:t xml:space="preserve"> </w:t>
      </w:r>
      <w:hyperlink r:id="rId8" w:history="1">
        <w:r w:rsidRPr="00D716FA">
          <w:rPr>
            <w:rStyle w:val="Hyperlink"/>
            <w:lang w:val="en-GB"/>
          </w:rPr>
          <w:t>http://www.ccse.org/ijef</w:t>
        </w:r>
      </w:hyperlink>
      <w:r>
        <w:rPr>
          <w:lang w:val="en-GB"/>
        </w:rPr>
        <w:t xml:space="preserve">  (July 5, 2011).</w:t>
      </w:r>
    </w:p>
    <w:p w:rsidR="003B22B0" w:rsidRPr="00BB7C24" w:rsidRDefault="003B22B0" w:rsidP="00BB7C24">
      <w:pPr>
        <w:pStyle w:val="NoSpacing"/>
        <w:ind w:left="720" w:hanging="720"/>
        <w:jc w:val="both"/>
      </w:pPr>
    </w:p>
    <w:sectPr w:rsidR="003B22B0" w:rsidRPr="00BB7C24" w:rsidSect="00B00C0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0CE4"/>
    <w:multiLevelType w:val="hybridMultilevel"/>
    <w:tmpl w:val="E822EA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01"/>
    <w:rsid w:val="0005502B"/>
    <w:rsid w:val="000678AD"/>
    <w:rsid w:val="000740F9"/>
    <w:rsid w:val="00091E07"/>
    <w:rsid w:val="000A75A3"/>
    <w:rsid w:val="000E0C92"/>
    <w:rsid w:val="00105F1E"/>
    <w:rsid w:val="001075CC"/>
    <w:rsid w:val="00145D67"/>
    <w:rsid w:val="00162EE3"/>
    <w:rsid w:val="00171B64"/>
    <w:rsid w:val="00174D09"/>
    <w:rsid w:val="00181482"/>
    <w:rsid w:val="001A1B74"/>
    <w:rsid w:val="0029486B"/>
    <w:rsid w:val="002B384A"/>
    <w:rsid w:val="002D4146"/>
    <w:rsid w:val="002E0D33"/>
    <w:rsid w:val="002E1CA4"/>
    <w:rsid w:val="003438B4"/>
    <w:rsid w:val="00397572"/>
    <w:rsid w:val="003A4DD1"/>
    <w:rsid w:val="003B22B0"/>
    <w:rsid w:val="003B635E"/>
    <w:rsid w:val="003C042F"/>
    <w:rsid w:val="003F56C4"/>
    <w:rsid w:val="0041115E"/>
    <w:rsid w:val="00423C3C"/>
    <w:rsid w:val="00460606"/>
    <w:rsid w:val="00465110"/>
    <w:rsid w:val="004A65AC"/>
    <w:rsid w:val="004B5975"/>
    <w:rsid w:val="004E61A9"/>
    <w:rsid w:val="004F22EC"/>
    <w:rsid w:val="00503D51"/>
    <w:rsid w:val="00506E39"/>
    <w:rsid w:val="005122EC"/>
    <w:rsid w:val="0054659E"/>
    <w:rsid w:val="005819EA"/>
    <w:rsid w:val="00584171"/>
    <w:rsid w:val="005A7F13"/>
    <w:rsid w:val="005C0747"/>
    <w:rsid w:val="005C159A"/>
    <w:rsid w:val="005E5308"/>
    <w:rsid w:val="005E7914"/>
    <w:rsid w:val="005F03A5"/>
    <w:rsid w:val="005F687D"/>
    <w:rsid w:val="0061186E"/>
    <w:rsid w:val="00630878"/>
    <w:rsid w:val="006328AE"/>
    <w:rsid w:val="00635C91"/>
    <w:rsid w:val="00636CD2"/>
    <w:rsid w:val="00640EFD"/>
    <w:rsid w:val="00642EDC"/>
    <w:rsid w:val="006976DC"/>
    <w:rsid w:val="006B2946"/>
    <w:rsid w:val="006B452A"/>
    <w:rsid w:val="006E3A25"/>
    <w:rsid w:val="006E4F37"/>
    <w:rsid w:val="006F13B4"/>
    <w:rsid w:val="007231D9"/>
    <w:rsid w:val="00734E1A"/>
    <w:rsid w:val="00735C8A"/>
    <w:rsid w:val="00742D63"/>
    <w:rsid w:val="00744E3C"/>
    <w:rsid w:val="00763B1D"/>
    <w:rsid w:val="00785883"/>
    <w:rsid w:val="0078780F"/>
    <w:rsid w:val="00791E5E"/>
    <w:rsid w:val="007A1FF3"/>
    <w:rsid w:val="007F22D8"/>
    <w:rsid w:val="007F5260"/>
    <w:rsid w:val="007F68FC"/>
    <w:rsid w:val="00803695"/>
    <w:rsid w:val="00815180"/>
    <w:rsid w:val="00820AF3"/>
    <w:rsid w:val="00870B69"/>
    <w:rsid w:val="008742C6"/>
    <w:rsid w:val="00904D17"/>
    <w:rsid w:val="009508EB"/>
    <w:rsid w:val="009533FD"/>
    <w:rsid w:val="00993162"/>
    <w:rsid w:val="009A7BF5"/>
    <w:rsid w:val="009B0B6E"/>
    <w:rsid w:val="009B3FB7"/>
    <w:rsid w:val="009C7EE1"/>
    <w:rsid w:val="009D0504"/>
    <w:rsid w:val="009E091B"/>
    <w:rsid w:val="009F3456"/>
    <w:rsid w:val="00A51ABA"/>
    <w:rsid w:val="00A66BF0"/>
    <w:rsid w:val="00A93B90"/>
    <w:rsid w:val="00A975F9"/>
    <w:rsid w:val="00AA769F"/>
    <w:rsid w:val="00AB05FC"/>
    <w:rsid w:val="00AC5983"/>
    <w:rsid w:val="00AC6EB0"/>
    <w:rsid w:val="00AD27B1"/>
    <w:rsid w:val="00AE499A"/>
    <w:rsid w:val="00AE6DCF"/>
    <w:rsid w:val="00AF0C32"/>
    <w:rsid w:val="00B00C01"/>
    <w:rsid w:val="00B105E8"/>
    <w:rsid w:val="00B31D79"/>
    <w:rsid w:val="00B962EE"/>
    <w:rsid w:val="00BB7C24"/>
    <w:rsid w:val="00BF400F"/>
    <w:rsid w:val="00BF4ECC"/>
    <w:rsid w:val="00BF75B6"/>
    <w:rsid w:val="00C2040E"/>
    <w:rsid w:val="00C438D1"/>
    <w:rsid w:val="00C55484"/>
    <w:rsid w:val="00C96E17"/>
    <w:rsid w:val="00CB0496"/>
    <w:rsid w:val="00CB3767"/>
    <w:rsid w:val="00CC38A8"/>
    <w:rsid w:val="00CE76B3"/>
    <w:rsid w:val="00D07B32"/>
    <w:rsid w:val="00D12AF4"/>
    <w:rsid w:val="00D40F4E"/>
    <w:rsid w:val="00D51DE6"/>
    <w:rsid w:val="00D51FD2"/>
    <w:rsid w:val="00D52D95"/>
    <w:rsid w:val="00D66104"/>
    <w:rsid w:val="00D91915"/>
    <w:rsid w:val="00DD2F54"/>
    <w:rsid w:val="00DD6C11"/>
    <w:rsid w:val="00E1569C"/>
    <w:rsid w:val="00E2238A"/>
    <w:rsid w:val="00E362A1"/>
    <w:rsid w:val="00E441D2"/>
    <w:rsid w:val="00E452B0"/>
    <w:rsid w:val="00E552AC"/>
    <w:rsid w:val="00E67EF1"/>
    <w:rsid w:val="00E85A5B"/>
    <w:rsid w:val="00E86843"/>
    <w:rsid w:val="00EA11FD"/>
    <w:rsid w:val="00EA5237"/>
    <w:rsid w:val="00EB0958"/>
    <w:rsid w:val="00EC2A0B"/>
    <w:rsid w:val="00ED22F5"/>
    <w:rsid w:val="00EE0ADC"/>
    <w:rsid w:val="00EE67D5"/>
    <w:rsid w:val="00EE70C7"/>
    <w:rsid w:val="00F51098"/>
    <w:rsid w:val="00F55182"/>
    <w:rsid w:val="00F65532"/>
    <w:rsid w:val="00F67F91"/>
    <w:rsid w:val="00F93568"/>
    <w:rsid w:val="00FB6424"/>
    <w:rsid w:val="00F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C01"/>
    <w:rPr>
      <w:sz w:val="24"/>
      <w:szCs w:val="24"/>
    </w:rPr>
  </w:style>
  <w:style w:type="character" w:styleId="PlaceholderText">
    <w:name w:val="Placeholder Text"/>
    <w:basedOn w:val="DefaultParagraphFont"/>
    <w:uiPriority w:val="99"/>
    <w:semiHidden/>
    <w:rsid w:val="00EB0958"/>
    <w:rPr>
      <w:color w:val="808080"/>
    </w:rPr>
  </w:style>
  <w:style w:type="paragraph" w:styleId="BalloonText">
    <w:name w:val="Balloon Text"/>
    <w:basedOn w:val="Normal"/>
    <w:link w:val="BalloonTextChar"/>
    <w:rsid w:val="00EB0958"/>
    <w:rPr>
      <w:rFonts w:ascii="Tahoma" w:hAnsi="Tahoma" w:cs="Tahoma"/>
      <w:sz w:val="16"/>
      <w:szCs w:val="16"/>
    </w:rPr>
  </w:style>
  <w:style w:type="character" w:customStyle="1" w:styleId="BalloonTextChar">
    <w:name w:val="Balloon Text Char"/>
    <w:basedOn w:val="DefaultParagraphFont"/>
    <w:link w:val="BalloonText"/>
    <w:rsid w:val="00EB0958"/>
    <w:rPr>
      <w:rFonts w:ascii="Tahoma" w:hAnsi="Tahoma" w:cs="Tahoma"/>
      <w:sz w:val="16"/>
      <w:szCs w:val="16"/>
    </w:rPr>
  </w:style>
  <w:style w:type="table" w:styleId="TableGrid">
    <w:name w:val="Table Grid"/>
    <w:basedOn w:val="TableNormal"/>
    <w:uiPriority w:val="59"/>
    <w:rsid w:val="00FB6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0F9"/>
    <w:pPr>
      <w:autoSpaceDE w:val="0"/>
      <w:autoSpaceDN w:val="0"/>
      <w:adjustRightInd w:val="0"/>
    </w:pPr>
    <w:rPr>
      <w:rFonts w:ascii="Garamond" w:hAnsi="Garamond" w:cs="Garamond"/>
      <w:color w:val="000000"/>
      <w:sz w:val="24"/>
      <w:szCs w:val="24"/>
      <w:lang w:val="en-GB"/>
    </w:rPr>
  </w:style>
  <w:style w:type="character" w:styleId="Hyperlink">
    <w:name w:val="Hyperlink"/>
    <w:basedOn w:val="DefaultParagraphFont"/>
    <w:uiPriority w:val="99"/>
    <w:unhideWhenUsed/>
    <w:rsid w:val="003B22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C01"/>
    <w:rPr>
      <w:sz w:val="24"/>
      <w:szCs w:val="24"/>
    </w:rPr>
  </w:style>
  <w:style w:type="character" w:styleId="PlaceholderText">
    <w:name w:val="Placeholder Text"/>
    <w:basedOn w:val="DefaultParagraphFont"/>
    <w:uiPriority w:val="99"/>
    <w:semiHidden/>
    <w:rsid w:val="00EB0958"/>
    <w:rPr>
      <w:color w:val="808080"/>
    </w:rPr>
  </w:style>
  <w:style w:type="paragraph" w:styleId="BalloonText">
    <w:name w:val="Balloon Text"/>
    <w:basedOn w:val="Normal"/>
    <w:link w:val="BalloonTextChar"/>
    <w:rsid w:val="00EB0958"/>
    <w:rPr>
      <w:rFonts w:ascii="Tahoma" w:hAnsi="Tahoma" w:cs="Tahoma"/>
      <w:sz w:val="16"/>
      <w:szCs w:val="16"/>
    </w:rPr>
  </w:style>
  <w:style w:type="character" w:customStyle="1" w:styleId="BalloonTextChar">
    <w:name w:val="Balloon Text Char"/>
    <w:basedOn w:val="DefaultParagraphFont"/>
    <w:link w:val="BalloonText"/>
    <w:rsid w:val="00EB0958"/>
    <w:rPr>
      <w:rFonts w:ascii="Tahoma" w:hAnsi="Tahoma" w:cs="Tahoma"/>
      <w:sz w:val="16"/>
      <w:szCs w:val="16"/>
    </w:rPr>
  </w:style>
  <w:style w:type="table" w:styleId="TableGrid">
    <w:name w:val="Table Grid"/>
    <w:basedOn w:val="TableNormal"/>
    <w:uiPriority w:val="59"/>
    <w:rsid w:val="00FB6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0F9"/>
    <w:pPr>
      <w:autoSpaceDE w:val="0"/>
      <w:autoSpaceDN w:val="0"/>
      <w:adjustRightInd w:val="0"/>
    </w:pPr>
    <w:rPr>
      <w:rFonts w:ascii="Garamond" w:hAnsi="Garamond" w:cs="Garamond"/>
      <w:color w:val="000000"/>
      <w:sz w:val="24"/>
      <w:szCs w:val="24"/>
      <w:lang w:val="en-GB"/>
    </w:rPr>
  </w:style>
  <w:style w:type="character" w:styleId="Hyperlink">
    <w:name w:val="Hyperlink"/>
    <w:basedOn w:val="DefaultParagraphFont"/>
    <w:uiPriority w:val="99"/>
    <w:unhideWhenUsed/>
    <w:rsid w:val="003B2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e.org/ijef" TargetMode="External"/><Relationship Id="rId3" Type="http://schemas.openxmlformats.org/officeDocument/2006/relationships/styles" Target="styles.xml"/><Relationship Id="rId7" Type="http://schemas.openxmlformats.org/officeDocument/2006/relationships/hyperlink" Target="http://www.globalbizresea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A109-78BC-4E51-AA44-A11DEA5C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17</cp:revision>
  <cp:lastPrinted>2018-04-25T11:06:00Z</cp:lastPrinted>
  <dcterms:created xsi:type="dcterms:W3CDTF">2017-12-27T07:15:00Z</dcterms:created>
  <dcterms:modified xsi:type="dcterms:W3CDTF">2019-01-14T15:09:00Z</dcterms:modified>
</cp:coreProperties>
</file>